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01" w:rsidRPr="00031905" w:rsidRDefault="004D1F01" w:rsidP="0081133E">
      <w:pPr>
        <w:widowControl w:val="0"/>
        <w:spacing w:after="0" w:line="480" w:lineRule="auto"/>
        <w:ind w:firstLine="397"/>
        <w:jc w:val="center"/>
        <w:rPr>
          <w:rFonts w:asciiTheme="minorHAnsi" w:hAnsiTheme="minorHAnsi"/>
          <w:sz w:val="24"/>
          <w:szCs w:val="24"/>
          <w:shd w:val="clear" w:color="auto" w:fill="FFFFFF"/>
        </w:rPr>
      </w:pPr>
    </w:p>
    <w:p w:rsidR="00031905" w:rsidRDefault="00AB6DE7" w:rsidP="00031905">
      <w:pPr>
        <w:widowControl w:val="0"/>
        <w:spacing w:after="0" w:line="480" w:lineRule="auto"/>
        <w:ind w:firstLine="397"/>
        <w:jc w:val="center"/>
        <w:rPr>
          <w:rFonts w:ascii="Times New Roman" w:hAnsi="Times New Roman"/>
          <w:sz w:val="24"/>
          <w:szCs w:val="24"/>
        </w:rPr>
      </w:pPr>
      <w:r w:rsidRPr="00031905">
        <w:rPr>
          <w:rFonts w:asciiTheme="minorHAnsi" w:hAnsiTheme="minorHAnsi"/>
          <w:sz w:val="24"/>
          <w:szCs w:val="24"/>
          <w:shd w:val="clear" w:color="auto" w:fill="FFFFFF"/>
        </w:rPr>
        <w:t>Fórum</w:t>
      </w:r>
      <w:bookmarkStart w:id="0" w:name="_GoBack"/>
      <w:bookmarkEnd w:id="0"/>
      <w:r w:rsidR="002121D4" w:rsidRPr="00031905">
        <w:rPr>
          <w:rFonts w:asciiTheme="minorHAnsi" w:hAnsiTheme="minorHAnsi"/>
          <w:sz w:val="24"/>
          <w:szCs w:val="24"/>
          <w:shd w:val="clear" w:color="auto" w:fill="FFFFFF"/>
        </w:rPr>
        <w:t xml:space="preserve"> </w:t>
      </w:r>
      <w:r w:rsidR="002121D4" w:rsidRPr="00031905">
        <w:rPr>
          <w:rFonts w:asciiTheme="minorHAnsi" w:hAnsiTheme="minorHAnsi" w:cs="Arial"/>
          <w:color w:val="222222"/>
          <w:sz w:val="24"/>
          <w:szCs w:val="24"/>
          <w:shd w:val="clear" w:color="auto" w:fill="FFFFFF"/>
        </w:rPr>
        <w:t>AEDAR – Associação dos Ex-Deputados da Assembleia da República</w:t>
      </w:r>
      <w:r w:rsidR="00031905">
        <w:rPr>
          <w:rFonts w:asciiTheme="minorHAnsi" w:hAnsiTheme="minorHAnsi" w:cs="Arial"/>
          <w:color w:val="222222"/>
          <w:sz w:val="24"/>
          <w:szCs w:val="24"/>
          <w:shd w:val="clear" w:color="auto" w:fill="FFFFFF"/>
        </w:rPr>
        <w:t xml:space="preserve"> </w:t>
      </w:r>
      <w:r w:rsidR="00031905" w:rsidRPr="00031905">
        <w:rPr>
          <w:rFonts w:asciiTheme="minorHAnsi" w:hAnsiTheme="minorHAnsi" w:cs="Arial"/>
          <w:sz w:val="24"/>
          <w:szCs w:val="24"/>
        </w:rPr>
        <w:t>– Auditório do Edifício Novo da A. R.</w:t>
      </w:r>
      <w:r w:rsidR="00031905" w:rsidRPr="00031905">
        <w:rPr>
          <w:rStyle w:val="apple-converted-space"/>
          <w:rFonts w:asciiTheme="minorHAnsi" w:hAnsiTheme="minorHAnsi"/>
          <w:sz w:val="24"/>
          <w:szCs w:val="24"/>
          <w:shd w:val="clear" w:color="auto" w:fill="FFFFFF"/>
        </w:rPr>
        <w:t>, 11 de Março de 2013</w:t>
      </w:r>
      <w:r w:rsidR="00031905" w:rsidRPr="00031905">
        <w:rPr>
          <w:rFonts w:ascii="Times New Roman" w:hAnsi="Times New Roman"/>
          <w:sz w:val="24"/>
          <w:szCs w:val="24"/>
        </w:rPr>
        <w:t xml:space="preserve"> </w:t>
      </w:r>
    </w:p>
    <w:p w:rsidR="00850798" w:rsidRDefault="00850798" w:rsidP="00031905">
      <w:pPr>
        <w:widowControl w:val="0"/>
        <w:spacing w:after="0" w:line="480" w:lineRule="auto"/>
        <w:ind w:firstLine="397"/>
        <w:jc w:val="center"/>
        <w:rPr>
          <w:rFonts w:ascii="Times New Roman" w:hAnsi="Times New Roman"/>
          <w:sz w:val="24"/>
          <w:szCs w:val="24"/>
        </w:rPr>
      </w:pPr>
    </w:p>
    <w:p w:rsidR="002121D4" w:rsidRPr="00031905" w:rsidRDefault="0081133E" w:rsidP="00464C18">
      <w:pPr>
        <w:pStyle w:val="Title"/>
        <w:rPr>
          <w:shd w:val="clear" w:color="auto" w:fill="FFFFFF"/>
        </w:rPr>
      </w:pPr>
      <w:r w:rsidRPr="00031905">
        <w:rPr>
          <w:shd w:val="clear" w:color="auto" w:fill="FFFFFF"/>
        </w:rPr>
        <w:t>“</w:t>
      </w:r>
      <w:r w:rsidR="00464C18" w:rsidRPr="00031905">
        <w:rPr>
          <w:shd w:val="clear" w:color="auto" w:fill="FFFFFF"/>
        </w:rPr>
        <w:t>O lugar dos avós</w:t>
      </w:r>
      <w:r w:rsidR="002121D4" w:rsidRPr="00031905">
        <w:rPr>
          <w:rStyle w:val="apple-converted-space"/>
          <w:rFonts w:asciiTheme="minorHAnsi" w:hAnsiTheme="minorHAnsi" w:cs="Arial"/>
          <w:sz w:val="24"/>
          <w:szCs w:val="24"/>
          <w:shd w:val="clear" w:color="auto" w:fill="FFFFFF"/>
        </w:rPr>
        <w:t> </w:t>
      </w:r>
      <w:r w:rsidR="002121D4" w:rsidRPr="00031905">
        <w:rPr>
          <w:shd w:val="clear" w:color="auto" w:fill="FFFFFF"/>
        </w:rPr>
        <w:t>na Sociedade do Conhecimento - Um desafio/Uma oportunidade</w:t>
      </w:r>
      <w:r w:rsidRPr="00031905">
        <w:rPr>
          <w:shd w:val="clear" w:color="auto" w:fill="FFFFFF"/>
        </w:rPr>
        <w:t>”</w:t>
      </w:r>
    </w:p>
    <w:p w:rsidR="00850798" w:rsidRPr="00597774" w:rsidRDefault="00850798" w:rsidP="00850798">
      <w:pPr>
        <w:widowControl w:val="0"/>
        <w:spacing w:after="0" w:line="480" w:lineRule="auto"/>
        <w:ind w:firstLine="397"/>
        <w:jc w:val="center"/>
        <w:rPr>
          <w:rFonts w:ascii="Calibri" w:hAnsi="Calibri"/>
          <w:sz w:val="28"/>
          <w:szCs w:val="24"/>
        </w:rPr>
      </w:pPr>
    </w:p>
    <w:p w:rsidR="00850798" w:rsidRPr="00597774" w:rsidRDefault="00850798" w:rsidP="0081133E">
      <w:pPr>
        <w:widowControl w:val="0"/>
        <w:spacing w:after="0" w:line="480" w:lineRule="auto"/>
        <w:ind w:firstLine="397"/>
        <w:jc w:val="center"/>
        <w:rPr>
          <w:rFonts w:ascii="Calibri" w:hAnsi="Calibri"/>
          <w:sz w:val="28"/>
          <w:szCs w:val="24"/>
        </w:rPr>
      </w:pPr>
      <w:r w:rsidRPr="00597774">
        <w:rPr>
          <w:rFonts w:ascii="Calibri" w:hAnsi="Calibri"/>
          <w:sz w:val="28"/>
          <w:szCs w:val="24"/>
        </w:rPr>
        <w:t>Adelinda Araújo Candeias</w:t>
      </w:r>
    </w:p>
    <w:p w:rsidR="00850798" w:rsidRPr="00597774" w:rsidRDefault="00850798" w:rsidP="0081133E">
      <w:pPr>
        <w:widowControl w:val="0"/>
        <w:spacing w:after="0" w:line="480" w:lineRule="auto"/>
        <w:ind w:firstLine="397"/>
        <w:jc w:val="center"/>
        <w:rPr>
          <w:rFonts w:ascii="Calibri" w:eastAsia="Times New Roman" w:hAnsi="Calibri" w:cs="Arial"/>
          <w:color w:val="222222"/>
          <w:sz w:val="20"/>
          <w:szCs w:val="28"/>
        </w:rPr>
      </w:pPr>
      <w:r w:rsidRPr="00E9275E">
        <w:rPr>
          <w:rFonts w:ascii="Calibri" w:eastAsia="Times New Roman" w:hAnsi="Calibri" w:cs="Arial"/>
          <w:color w:val="222222"/>
          <w:sz w:val="20"/>
          <w:szCs w:val="28"/>
        </w:rPr>
        <w:t xml:space="preserve">Professora </w:t>
      </w:r>
      <w:r w:rsidRPr="00597774">
        <w:rPr>
          <w:rFonts w:ascii="Calibri" w:eastAsia="Times New Roman" w:hAnsi="Calibri" w:cs="Arial"/>
          <w:color w:val="222222"/>
          <w:sz w:val="20"/>
          <w:szCs w:val="28"/>
        </w:rPr>
        <w:t>Auxiliar com Agregação da Escola de Ciências Sociais d</w:t>
      </w:r>
      <w:r w:rsidRPr="00E9275E">
        <w:rPr>
          <w:rFonts w:ascii="Calibri" w:eastAsia="Times New Roman" w:hAnsi="Calibri" w:cs="Arial"/>
          <w:color w:val="222222"/>
          <w:sz w:val="20"/>
          <w:szCs w:val="28"/>
        </w:rPr>
        <w:t>a Universidade de Évora</w:t>
      </w:r>
    </w:p>
    <w:p w:rsidR="00850798" w:rsidRDefault="00850798" w:rsidP="0081133E">
      <w:pPr>
        <w:widowControl w:val="0"/>
        <w:spacing w:after="0" w:line="480" w:lineRule="auto"/>
        <w:ind w:firstLine="397"/>
        <w:jc w:val="center"/>
        <w:rPr>
          <w:rFonts w:asciiTheme="minorHAnsi" w:hAnsiTheme="minorHAnsi"/>
          <w:sz w:val="24"/>
          <w:szCs w:val="24"/>
          <w:shd w:val="clear" w:color="auto" w:fill="FFFFFF"/>
        </w:rPr>
      </w:pPr>
    </w:p>
    <w:p w:rsidR="00850798" w:rsidRPr="00031905" w:rsidRDefault="00850798" w:rsidP="0081133E">
      <w:pPr>
        <w:widowControl w:val="0"/>
        <w:spacing w:after="0" w:line="480" w:lineRule="auto"/>
        <w:ind w:firstLine="397"/>
        <w:jc w:val="center"/>
        <w:rPr>
          <w:rFonts w:asciiTheme="minorHAnsi" w:hAnsiTheme="minorHAnsi"/>
          <w:sz w:val="24"/>
          <w:szCs w:val="24"/>
          <w:shd w:val="clear" w:color="auto" w:fill="FFFFFF"/>
        </w:rPr>
      </w:pPr>
    </w:p>
    <w:sdt>
      <w:sdtPr>
        <w:rPr>
          <w:caps w:val="0"/>
          <w:color w:val="auto"/>
          <w:spacing w:val="0"/>
          <w:sz w:val="22"/>
          <w:szCs w:val="22"/>
          <w:lang w:bidi="ar-SA"/>
        </w:rPr>
        <w:id w:val="-562403973"/>
        <w:docPartObj>
          <w:docPartGallery w:val="Table of Contents"/>
          <w:docPartUnique/>
        </w:docPartObj>
      </w:sdtPr>
      <w:sdtEndPr>
        <w:rPr>
          <w:bCs/>
        </w:rPr>
      </w:sdtEndPr>
      <w:sdtContent>
        <w:p w:rsidR="00903501" w:rsidRPr="00031905" w:rsidRDefault="00903501">
          <w:pPr>
            <w:pStyle w:val="TOCHeading"/>
          </w:pPr>
          <w:r w:rsidRPr="00031905">
            <w:t>Índice</w:t>
          </w:r>
        </w:p>
        <w:p w:rsidR="00597774" w:rsidRDefault="00903501">
          <w:pPr>
            <w:pStyle w:val="TOC2"/>
            <w:tabs>
              <w:tab w:val="right" w:leader="dot" w:pos="8494"/>
            </w:tabs>
            <w:rPr>
              <w:rFonts w:asciiTheme="minorHAnsi" w:eastAsiaTheme="minorEastAsia" w:hAnsiTheme="minorHAnsi" w:cstheme="minorBidi"/>
              <w:noProof/>
            </w:rPr>
          </w:pPr>
          <w:r w:rsidRPr="00031905">
            <w:fldChar w:fldCharType="begin"/>
          </w:r>
          <w:r w:rsidRPr="00031905">
            <w:instrText xml:space="preserve"> TOC \o "1-5" \h \z \u </w:instrText>
          </w:r>
          <w:r w:rsidRPr="00031905">
            <w:fldChar w:fldCharType="separate"/>
          </w:r>
          <w:hyperlink w:anchor="_Toc350731112" w:history="1">
            <w:r w:rsidR="00597774" w:rsidRPr="00625555">
              <w:rPr>
                <w:rStyle w:val="Hyperlink"/>
                <w:noProof/>
              </w:rPr>
              <w:t>A Sociedade do Conhecimento, as Pessoas e o Trabalho</w:t>
            </w:r>
            <w:r w:rsidR="00597774">
              <w:rPr>
                <w:noProof/>
                <w:webHidden/>
              </w:rPr>
              <w:tab/>
            </w:r>
            <w:r w:rsidR="00597774">
              <w:rPr>
                <w:noProof/>
                <w:webHidden/>
              </w:rPr>
              <w:fldChar w:fldCharType="begin"/>
            </w:r>
            <w:r w:rsidR="00597774">
              <w:rPr>
                <w:noProof/>
                <w:webHidden/>
              </w:rPr>
              <w:instrText xml:space="preserve"> PAGEREF _Toc350731112 \h </w:instrText>
            </w:r>
            <w:r w:rsidR="00597774">
              <w:rPr>
                <w:noProof/>
                <w:webHidden/>
              </w:rPr>
            </w:r>
            <w:r w:rsidR="00597774">
              <w:rPr>
                <w:noProof/>
                <w:webHidden/>
              </w:rPr>
              <w:fldChar w:fldCharType="separate"/>
            </w:r>
            <w:r w:rsidR="00597774">
              <w:rPr>
                <w:noProof/>
                <w:webHidden/>
              </w:rPr>
              <w:t>2</w:t>
            </w:r>
            <w:r w:rsidR="00597774">
              <w:rPr>
                <w:noProof/>
                <w:webHidden/>
              </w:rPr>
              <w:fldChar w:fldCharType="end"/>
            </w:r>
          </w:hyperlink>
        </w:p>
        <w:p w:rsidR="00597774" w:rsidRDefault="00501044">
          <w:pPr>
            <w:pStyle w:val="TOC4"/>
            <w:tabs>
              <w:tab w:val="right" w:leader="dot" w:pos="8494"/>
            </w:tabs>
            <w:rPr>
              <w:rFonts w:asciiTheme="minorHAnsi" w:eastAsiaTheme="minorEastAsia" w:hAnsiTheme="minorHAnsi" w:cstheme="minorBidi"/>
              <w:noProof/>
            </w:rPr>
          </w:pPr>
          <w:hyperlink w:anchor="_Toc350731113" w:history="1">
            <w:r w:rsidR="00597774" w:rsidRPr="00625555">
              <w:rPr>
                <w:rStyle w:val="Hyperlink"/>
                <w:noProof/>
              </w:rPr>
              <w:t>As pessoas</w:t>
            </w:r>
            <w:r w:rsidR="00597774">
              <w:rPr>
                <w:noProof/>
                <w:webHidden/>
              </w:rPr>
              <w:tab/>
            </w:r>
            <w:r w:rsidR="00597774">
              <w:rPr>
                <w:noProof/>
                <w:webHidden/>
              </w:rPr>
              <w:fldChar w:fldCharType="begin"/>
            </w:r>
            <w:r w:rsidR="00597774">
              <w:rPr>
                <w:noProof/>
                <w:webHidden/>
              </w:rPr>
              <w:instrText xml:space="preserve"> PAGEREF _Toc350731113 \h </w:instrText>
            </w:r>
            <w:r w:rsidR="00597774">
              <w:rPr>
                <w:noProof/>
                <w:webHidden/>
              </w:rPr>
            </w:r>
            <w:r w:rsidR="00597774">
              <w:rPr>
                <w:noProof/>
                <w:webHidden/>
              </w:rPr>
              <w:fldChar w:fldCharType="separate"/>
            </w:r>
            <w:r w:rsidR="00597774">
              <w:rPr>
                <w:noProof/>
                <w:webHidden/>
              </w:rPr>
              <w:t>3</w:t>
            </w:r>
            <w:r w:rsidR="00597774">
              <w:rPr>
                <w:noProof/>
                <w:webHidden/>
              </w:rPr>
              <w:fldChar w:fldCharType="end"/>
            </w:r>
          </w:hyperlink>
        </w:p>
        <w:p w:rsidR="00597774" w:rsidRDefault="00501044">
          <w:pPr>
            <w:pStyle w:val="TOC4"/>
            <w:tabs>
              <w:tab w:val="right" w:leader="dot" w:pos="8494"/>
            </w:tabs>
            <w:rPr>
              <w:rFonts w:asciiTheme="minorHAnsi" w:eastAsiaTheme="minorEastAsia" w:hAnsiTheme="minorHAnsi" w:cstheme="minorBidi"/>
              <w:noProof/>
            </w:rPr>
          </w:pPr>
          <w:hyperlink w:anchor="_Toc350731114" w:history="1">
            <w:r w:rsidR="00597774" w:rsidRPr="00625555">
              <w:rPr>
                <w:rStyle w:val="Hyperlink"/>
                <w:noProof/>
              </w:rPr>
              <w:t>Formação ao longo da vida</w:t>
            </w:r>
            <w:r w:rsidR="00597774">
              <w:rPr>
                <w:noProof/>
                <w:webHidden/>
              </w:rPr>
              <w:tab/>
            </w:r>
            <w:r w:rsidR="00597774">
              <w:rPr>
                <w:noProof/>
                <w:webHidden/>
              </w:rPr>
              <w:fldChar w:fldCharType="begin"/>
            </w:r>
            <w:r w:rsidR="00597774">
              <w:rPr>
                <w:noProof/>
                <w:webHidden/>
              </w:rPr>
              <w:instrText xml:space="preserve"> PAGEREF _Toc350731114 \h </w:instrText>
            </w:r>
            <w:r w:rsidR="00597774">
              <w:rPr>
                <w:noProof/>
                <w:webHidden/>
              </w:rPr>
            </w:r>
            <w:r w:rsidR="00597774">
              <w:rPr>
                <w:noProof/>
                <w:webHidden/>
              </w:rPr>
              <w:fldChar w:fldCharType="separate"/>
            </w:r>
            <w:r w:rsidR="00597774">
              <w:rPr>
                <w:noProof/>
                <w:webHidden/>
              </w:rPr>
              <w:t>4</w:t>
            </w:r>
            <w:r w:rsidR="00597774">
              <w:rPr>
                <w:noProof/>
                <w:webHidden/>
              </w:rPr>
              <w:fldChar w:fldCharType="end"/>
            </w:r>
          </w:hyperlink>
        </w:p>
        <w:p w:rsidR="00597774" w:rsidRDefault="00501044">
          <w:pPr>
            <w:pStyle w:val="TOC4"/>
            <w:tabs>
              <w:tab w:val="right" w:leader="dot" w:pos="8494"/>
            </w:tabs>
            <w:rPr>
              <w:rFonts w:asciiTheme="minorHAnsi" w:eastAsiaTheme="minorEastAsia" w:hAnsiTheme="minorHAnsi" w:cstheme="minorBidi"/>
              <w:noProof/>
            </w:rPr>
          </w:pPr>
          <w:hyperlink w:anchor="_Toc350731115" w:history="1">
            <w:r w:rsidR="00597774" w:rsidRPr="00625555">
              <w:rPr>
                <w:rStyle w:val="Hyperlink"/>
                <w:noProof/>
              </w:rPr>
              <w:t>Novas formas de organização do trabalho</w:t>
            </w:r>
            <w:r w:rsidR="00597774">
              <w:rPr>
                <w:noProof/>
                <w:webHidden/>
              </w:rPr>
              <w:tab/>
            </w:r>
            <w:r w:rsidR="00597774">
              <w:rPr>
                <w:noProof/>
                <w:webHidden/>
              </w:rPr>
              <w:fldChar w:fldCharType="begin"/>
            </w:r>
            <w:r w:rsidR="00597774">
              <w:rPr>
                <w:noProof/>
                <w:webHidden/>
              </w:rPr>
              <w:instrText xml:space="preserve"> PAGEREF _Toc350731115 \h </w:instrText>
            </w:r>
            <w:r w:rsidR="00597774">
              <w:rPr>
                <w:noProof/>
                <w:webHidden/>
              </w:rPr>
            </w:r>
            <w:r w:rsidR="00597774">
              <w:rPr>
                <w:noProof/>
                <w:webHidden/>
              </w:rPr>
              <w:fldChar w:fldCharType="separate"/>
            </w:r>
            <w:r w:rsidR="00597774">
              <w:rPr>
                <w:noProof/>
                <w:webHidden/>
              </w:rPr>
              <w:t>4</w:t>
            </w:r>
            <w:r w:rsidR="00597774">
              <w:rPr>
                <w:noProof/>
                <w:webHidden/>
              </w:rPr>
              <w:fldChar w:fldCharType="end"/>
            </w:r>
          </w:hyperlink>
        </w:p>
        <w:p w:rsidR="00597774" w:rsidRDefault="00501044">
          <w:pPr>
            <w:pStyle w:val="TOC2"/>
            <w:tabs>
              <w:tab w:val="right" w:leader="dot" w:pos="8494"/>
            </w:tabs>
            <w:rPr>
              <w:rFonts w:asciiTheme="minorHAnsi" w:eastAsiaTheme="minorEastAsia" w:hAnsiTheme="minorHAnsi" w:cstheme="minorBidi"/>
              <w:noProof/>
            </w:rPr>
          </w:pPr>
          <w:hyperlink w:anchor="_Toc350731116" w:history="1">
            <w:r w:rsidR="00597774" w:rsidRPr="00625555">
              <w:rPr>
                <w:rStyle w:val="Hyperlink"/>
                <w:noProof/>
              </w:rPr>
              <w:t>Família</w:t>
            </w:r>
            <w:r w:rsidR="00597774">
              <w:rPr>
                <w:noProof/>
                <w:webHidden/>
              </w:rPr>
              <w:tab/>
            </w:r>
            <w:r w:rsidR="00597774">
              <w:rPr>
                <w:noProof/>
                <w:webHidden/>
              </w:rPr>
              <w:fldChar w:fldCharType="begin"/>
            </w:r>
            <w:r w:rsidR="00597774">
              <w:rPr>
                <w:noProof/>
                <w:webHidden/>
              </w:rPr>
              <w:instrText xml:space="preserve"> PAGEREF _Toc350731116 \h </w:instrText>
            </w:r>
            <w:r w:rsidR="00597774">
              <w:rPr>
                <w:noProof/>
                <w:webHidden/>
              </w:rPr>
            </w:r>
            <w:r w:rsidR="00597774">
              <w:rPr>
                <w:noProof/>
                <w:webHidden/>
              </w:rPr>
              <w:fldChar w:fldCharType="separate"/>
            </w:r>
            <w:r w:rsidR="00597774">
              <w:rPr>
                <w:noProof/>
                <w:webHidden/>
              </w:rPr>
              <w:t>6</w:t>
            </w:r>
            <w:r w:rsidR="00597774">
              <w:rPr>
                <w:noProof/>
                <w:webHidden/>
              </w:rPr>
              <w:fldChar w:fldCharType="end"/>
            </w:r>
          </w:hyperlink>
        </w:p>
        <w:p w:rsidR="00597774" w:rsidRDefault="00501044">
          <w:pPr>
            <w:pStyle w:val="TOC3"/>
            <w:tabs>
              <w:tab w:val="right" w:leader="dot" w:pos="8494"/>
            </w:tabs>
            <w:rPr>
              <w:rFonts w:asciiTheme="minorHAnsi" w:eastAsiaTheme="minorEastAsia" w:hAnsiTheme="minorHAnsi" w:cstheme="minorBidi"/>
              <w:noProof/>
            </w:rPr>
          </w:pPr>
          <w:hyperlink w:anchor="_Toc350731117" w:history="1">
            <w:r w:rsidR="00597774" w:rsidRPr="00625555">
              <w:rPr>
                <w:rStyle w:val="Hyperlink"/>
                <w:noProof/>
                <w:lang w:val="en-US"/>
              </w:rPr>
              <w:t>TendÊncias geracionais na europa</w:t>
            </w:r>
            <w:r w:rsidR="00597774">
              <w:rPr>
                <w:noProof/>
                <w:webHidden/>
              </w:rPr>
              <w:tab/>
            </w:r>
            <w:r w:rsidR="00597774">
              <w:rPr>
                <w:noProof/>
                <w:webHidden/>
              </w:rPr>
              <w:fldChar w:fldCharType="begin"/>
            </w:r>
            <w:r w:rsidR="00597774">
              <w:rPr>
                <w:noProof/>
                <w:webHidden/>
              </w:rPr>
              <w:instrText xml:space="preserve"> PAGEREF _Toc350731117 \h </w:instrText>
            </w:r>
            <w:r w:rsidR="00597774">
              <w:rPr>
                <w:noProof/>
                <w:webHidden/>
              </w:rPr>
            </w:r>
            <w:r w:rsidR="00597774">
              <w:rPr>
                <w:noProof/>
                <w:webHidden/>
              </w:rPr>
              <w:fldChar w:fldCharType="separate"/>
            </w:r>
            <w:r w:rsidR="00597774">
              <w:rPr>
                <w:noProof/>
                <w:webHidden/>
              </w:rPr>
              <w:t>6</w:t>
            </w:r>
            <w:r w:rsidR="00597774">
              <w:rPr>
                <w:noProof/>
                <w:webHidden/>
              </w:rPr>
              <w:fldChar w:fldCharType="end"/>
            </w:r>
          </w:hyperlink>
        </w:p>
        <w:p w:rsidR="00597774" w:rsidRDefault="00501044">
          <w:pPr>
            <w:pStyle w:val="TOC3"/>
            <w:tabs>
              <w:tab w:val="right" w:leader="dot" w:pos="8494"/>
            </w:tabs>
            <w:rPr>
              <w:rFonts w:asciiTheme="minorHAnsi" w:eastAsiaTheme="minorEastAsia" w:hAnsiTheme="minorHAnsi" w:cstheme="minorBidi"/>
              <w:noProof/>
            </w:rPr>
          </w:pPr>
          <w:hyperlink w:anchor="_Toc350731118" w:history="1">
            <w:r w:rsidR="00597774" w:rsidRPr="00625555">
              <w:rPr>
                <w:rStyle w:val="Hyperlink"/>
                <w:noProof/>
              </w:rPr>
              <w:t>O valor dos avós – evidências em Portugal</w:t>
            </w:r>
            <w:r w:rsidR="00597774">
              <w:rPr>
                <w:noProof/>
                <w:webHidden/>
              </w:rPr>
              <w:tab/>
            </w:r>
            <w:r w:rsidR="00597774">
              <w:rPr>
                <w:noProof/>
                <w:webHidden/>
              </w:rPr>
              <w:fldChar w:fldCharType="begin"/>
            </w:r>
            <w:r w:rsidR="00597774">
              <w:rPr>
                <w:noProof/>
                <w:webHidden/>
              </w:rPr>
              <w:instrText xml:space="preserve"> PAGEREF _Toc350731118 \h </w:instrText>
            </w:r>
            <w:r w:rsidR="00597774">
              <w:rPr>
                <w:noProof/>
                <w:webHidden/>
              </w:rPr>
            </w:r>
            <w:r w:rsidR="00597774">
              <w:rPr>
                <w:noProof/>
                <w:webHidden/>
              </w:rPr>
              <w:fldChar w:fldCharType="separate"/>
            </w:r>
            <w:r w:rsidR="00597774">
              <w:rPr>
                <w:noProof/>
                <w:webHidden/>
              </w:rPr>
              <w:t>8</w:t>
            </w:r>
            <w:r w:rsidR="00597774">
              <w:rPr>
                <w:noProof/>
                <w:webHidden/>
              </w:rPr>
              <w:fldChar w:fldCharType="end"/>
            </w:r>
          </w:hyperlink>
        </w:p>
        <w:p w:rsidR="00597774" w:rsidRDefault="00501044">
          <w:pPr>
            <w:pStyle w:val="TOC2"/>
            <w:tabs>
              <w:tab w:val="right" w:leader="dot" w:pos="8494"/>
            </w:tabs>
            <w:rPr>
              <w:rFonts w:asciiTheme="minorHAnsi" w:eastAsiaTheme="minorEastAsia" w:hAnsiTheme="minorHAnsi" w:cstheme="minorBidi"/>
              <w:noProof/>
            </w:rPr>
          </w:pPr>
          <w:hyperlink w:anchor="_Toc350731119" w:history="1">
            <w:r w:rsidR="00597774" w:rsidRPr="00625555">
              <w:rPr>
                <w:rStyle w:val="Hyperlink"/>
                <w:noProof/>
              </w:rPr>
              <w:t xml:space="preserve">Avós – dasafio </w:t>
            </w:r>
            <w:r w:rsidR="00597774" w:rsidRPr="00625555">
              <w:rPr>
                <w:rStyle w:val="Hyperlink"/>
                <w:i/>
                <w:noProof/>
              </w:rPr>
              <w:t>vs</w:t>
            </w:r>
            <w:r w:rsidR="00597774" w:rsidRPr="00625555">
              <w:rPr>
                <w:rStyle w:val="Hyperlink"/>
                <w:noProof/>
              </w:rPr>
              <w:t xml:space="preserve"> oportunidade</w:t>
            </w:r>
            <w:r w:rsidR="00597774">
              <w:rPr>
                <w:noProof/>
                <w:webHidden/>
              </w:rPr>
              <w:tab/>
            </w:r>
            <w:r w:rsidR="00597774">
              <w:rPr>
                <w:noProof/>
                <w:webHidden/>
              </w:rPr>
              <w:fldChar w:fldCharType="begin"/>
            </w:r>
            <w:r w:rsidR="00597774">
              <w:rPr>
                <w:noProof/>
                <w:webHidden/>
              </w:rPr>
              <w:instrText xml:space="preserve"> PAGEREF _Toc350731119 \h </w:instrText>
            </w:r>
            <w:r w:rsidR="00597774">
              <w:rPr>
                <w:noProof/>
                <w:webHidden/>
              </w:rPr>
            </w:r>
            <w:r w:rsidR="00597774">
              <w:rPr>
                <w:noProof/>
                <w:webHidden/>
              </w:rPr>
              <w:fldChar w:fldCharType="separate"/>
            </w:r>
            <w:r w:rsidR="00597774">
              <w:rPr>
                <w:noProof/>
                <w:webHidden/>
              </w:rPr>
              <w:t>9</w:t>
            </w:r>
            <w:r w:rsidR="00597774">
              <w:rPr>
                <w:noProof/>
                <w:webHidden/>
              </w:rPr>
              <w:fldChar w:fldCharType="end"/>
            </w:r>
          </w:hyperlink>
        </w:p>
        <w:p w:rsidR="00597774" w:rsidRDefault="00501044">
          <w:pPr>
            <w:pStyle w:val="TOC3"/>
            <w:tabs>
              <w:tab w:val="right" w:leader="dot" w:pos="8494"/>
            </w:tabs>
            <w:rPr>
              <w:rFonts w:asciiTheme="minorHAnsi" w:eastAsiaTheme="minorEastAsia" w:hAnsiTheme="minorHAnsi" w:cstheme="minorBidi"/>
              <w:noProof/>
            </w:rPr>
          </w:pPr>
          <w:hyperlink w:anchor="_Toc350731120" w:history="1">
            <w:r w:rsidR="00597774" w:rsidRPr="00625555">
              <w:rPr>
                <w:rStyle w:val="Hyperlink"/>
                <w:noProof/>
              </w:rPr>
              <w:t>O valor do vínculo avós netos</w:t>
            </w:r>
            <w:r w:rsidR="00597774">
              <w:rPr>
                <w:noProof/>
                <w:webHidden/>
              </w:rPr>
              <w:tab/>
            </w:r>
            <w:r w:rsidR="00597774">
              <w:rPr>
                <w:noProof/>
                <w:webHidden/>
              </w:rPr>
              <w:fldChar w:fldCharType="begin"/>
            </w:r>
            <w:r w:rsidR="00597774">
              <w:rPr>
                <w:noProof/>
                <w:webHidden/>
              </w:rPr>
              <w:instrText xml:space="preserve"> PAGEREF _Toc350731120 \h </w:instrText>
            </w:r>
            <w:r w:rsidR="00597774">
              <w:rPr>
                <w:noProof/>
                <w:webHidden/>
              </w:rPr>
            </w:r>
            <w:r w:rsidR="00597774">
              <w:rPr>
                <w:noProof/>
                <w:webHidden/>
              </w:rPr>
              <w:fldChar w:fldCharType="separate"/>
            </w:r>
            <w:r w:rsidR="00597774">
              <w:rPr>
                <w:noProof/>
                <w:webHidden/>
              </w:rPr>
              <w:t>10</w:t>
            </w:r>
            <w:r w:rsidR="00597774">
              <w:rPr>
                <w:noProof/>
                <w:webHidden/>
              </w:rPr>
              <w:fldChar w:fldCharType="end"/>
            </w:r>
          </w:hyperlink>
        </w:p>
        <w:p w:rsidR="00597774" w:rsidRDefault="00501044">
          <w:pPr>
            <w:pStyle w:val="TOC2"/>
            <w:tabs>
              <w:tab w:val="right" w:leader="dot" w:pos="8494"/>
            </w:tabs>
            <w:rPr>
              <w:rFonts w:asciiTheme="minorHAnsi" w:eastAsiaTheme="minorEastAsia" w:hAnsiTheme="minorHAnsi" w:cstheme="minorBidi"/>
              <w:noProof/>
            </w:rPr>
          </w:pPr>
          <w:hyperlink w:anchor="_Toc350731121" w:history="1">
            <w:r w:rsidR="00597774" w:rsidRPr="00625555">
              <w:rPr>
                <w:rStyle w:val="Hyperlink"/>
                <w:noProof/>
                <w:lang w:val="en-US"/>
              </w:rPr>
              <w:t>Referências</w:t>
            </w:r>
            <w:r w:rsidR="00597774">
              <w:rPr>
                <w:noProof/>
                <w:webHidden/>
              </w:rPr>
              <w:tab/>
            </w:r>
            <w:r w:rsidR="00597774">
              <w:rPr>
                <w:noProof/>
                <w:webHidden/>
              </w:rPr>
              <w:fldChar w:fldCharType="begin"/>
            </w:r>
            <w:r w:rsidR="00597774">
              <w:rPr>
                <w:noProof/>
                <w:webHidden/>
              </w:rPr>
              <w:instrText xml:space="preserve"> PAGEREF _Toc350731121 \h </w:instrText>
            </w:r>
            <w:r w:rsidR="00597774">
              <w:rPr>
                <w:noProof/>
                <w:webHidden/>
              </w:rPr>
            </w:r>
            <w:r w:rsidR="00597774">
              <w:rPr>
                <w:noProof/>
                <w:webHidden/>
              </w:rPr>
              <w:fldChar w:fldCharType="separate"/>
            </w:r>
            <w:r w:rsidR="00597774">
              <w:rPr>
                <w:noProof/>
                <w:webHidden/>
              </w:rPr>
              <w:t>11</w:t>
            </w:r>
            <w:r w:rsidR="00597774">
              <w:rPr>
                <w:noProof/>
                <w:webHidden/>
              </w:rPr>
              <w:fldChar w:fldCharType="end"/>
            </w:r>
          </w:hyperlink>
        </w:p>
        <w:p w:rsidR="00903501" w:rsidRPr="00031905" w:rsidRDefault="00903501">
          <w:r w:rsidRPr="00031905">
            <w:fldChar w:fldCharType="end"/>
          </w:r>
        </w:p>
      </w:sdtContent>
    </w:sdt>
    <w:p w:rsidR="00903501" w:rsidRPr="00031905" w:rsidRDefault="00903501" w:rsidP="006938D1">
      <w:pPr>
        <w:widowControl w:val="0"/>
        <w:spacing w:after="0" w:line="480" w:lineRule="auto"/>
        <w:ind w:firstLine="397"/>
        <w:jc w:val="both"/>
        <w:rPr>
          <w:rFonts w:ascii="Times New Roman" w:hAnsi="Times New Roman"/>
          <w:sz w:val="24"/>
          <w:szCs w:val="24"/>
        </w:rPr>
      </w:pPr>
    </w:p>
    <w:p w:rsidR="00980550" w:rsidRPr="00031905" w:rsidRDefault="00980550" w:rsidP="006938D1">
      <w:pPr>
        <w:widowControl w:val="0"/>
        <w:spacing w:after="0" w:line="480" w:lineRule="auto"/>
        <w:ind w:firstLine="397"/>
        <w:jc w:val="both"/>
        <w:rPr>
          <w:rFonts w:ascii="Times New Roman" w:hAnsi="Times New Roman"/>
          <w:sz w:val="24"/>
          <w:szCs w:val="24"/>
        </w:rPr>
      </w:pPr>
    </w:p>
    <w:p w:rsidR="00031905" w:rsidRPr="00597774" w:rsidRDefault="00031905" w:rsidP="00031905">
      <w:pPr>
        <w:widowControl w:val="0"/>
        <w:spacing w:after="0" w:line="480" w:lineRule="auto"/>
        <w:ind w:firstLine="397"/>
        <w:jc w:val="right"/>
        <w:rPr>
          <w:rFonts w:ascii="Calibri" w:hAnsi="Calibri"/>
          <w:i/>
          <w:sz w:val="24"/>
          <w:szCs w:val="24"/>
        </w:rPr>
      </w:pPr>
      <w:r w:rsidRPr="00597774">
        <w:rPr>
          <w:rFonts w:ascii="Calibri" w:hAnsi="Calibri"/>
          <w:i/>
          <w:sz w:val="24"/>
          <w:szCs w:val="24"/>
        </w:rPr>
        <w:lastRenderedPageBreak/>
        <w:t xml:space="preserve">O vínculo entre avós e netos é o do amor presente, incondicional que flui </w:t>
      </w:r>
    </w:p>
    <w:p w:rsidR="00031905" w:rsidRPr="00597774" w:rsidRDefault="00031905" w:rsidP="00031905">
      <w:pPr>
        <w:widowControl w:val="0"/>
        <w:spacing w:after="0" w:line="480" w:lineRule="auto"/>
        <w:ind w:firstLine="397"/>
        <w:jc w:val="right"/>
        <w:rPr>
          <w:rFonts w:ascii="Calibri" w:hAnsi="Calibri"/>
          <w:i/>
          <w:sz w:val="24"/>
          <w:szCs w:val="24"/>
        </w:rPr>
      </w:pPr>
      <w:r w:rsidRPr="00597774">
        <w:rPr>
          <w:rFonts w:ascii="Calibri" w:hAnsi="Calibri"/>
          <w:i/>
          <w:sz w:val="24"/>
          <w:szCs w:val="24"/>
        </w:rPr>
        <w:t>como a água da montanha – transparente, infinita.</w:t>
      </w:r>
    </w:p>
    <w:p w:rsidR="00031905" w:rsidRPr="00597774" w:rsidRDefault="00031905" w:rsidP="00031905">
      <w:pPr>
        <w:widowControl w:val="0"/>
        <w:spacing w:after="0" w:line="480" w:lineRule="auto"/>
        <w:ind w:firstLine="397"/>
        <w:jc w:val="right"/>
        <w:rPr>
          <w:rFonts w:ascii="Calibri" w:hAnsi="Calibri"/>
          <w:sz w:val="24"/>
          <w:szCs w:val="24"/>
        </w:rPr>
      </w:pPr>
      <w:r w:rsidRPr="00597774">
        <w:rPr>
          <w:rFonts w:ascii="Calibri" w:hAnsi="Calibri"/>
          <w:sz w:val="24"/>
          <w:szCs w:val="24"/>
        </w:rPr>
        <w:t>Gomes Pedro, 2006</w:t>
      </w:r>
    </w:p>
    <w:p w:rsidR="00980550" w:rsidRPr="0075693D" w:rsidRDefault="00980550" w:rsidP="006938D1">
      <w:pPr>
        <w:widowControl w:val="0"/>
        <w:spacing w:after="0" w:line="480" w:lineRule="auto"/>
        <w:ind w:firstLine="397"/>
        <w:jc w:val="both"/>
        <w:rPr>
          <w:rFonts w:asciiTheme="minorHAnsi" w:hAnsiTheme="minorHAnsi"/>
          <w:sz w:val="24"/>
          <w:szCs w:val="24"/>
        </w:rPr>
      </w:pPr>
    </w:p>
    <w:p w:rsidR="00464C18" w:rsidRPr="0075693D" w:rsidRDefault="00464C18" w:rsidP="00464C18">
      <w:pPr>
        <w:pStyle w:val="Heading2"/>
        <w:rPr>
          <w:rFonts w:asciiTheme="minorHAnsi" w:hAnsiTheme="minorHAnsi"/>
        </w:rPr>
      </w:pPr>
      <w:bookmarkStart w:id="1" w:name="_Toc350536009"/>
      <w:bookmarkStart w:id="2" w:name="_Toc350731112"/>
      <w:r w:rsidRPr="0075693D">
        <w:rPr>
          <w:rFonts w:asciiTheme="minorHAnsi" w:hAnsiTheme="minorHAnsi"/>
        </w:rPr>
        <w:t>A Sociedade do Conhecimento, as Pessoas e o Trabalho</w:t>
      </w:r>
      <w:bookmarkEnd w:id="1"/>
      <w:bookmarkEnd w:id="2"/>
    </w:p>
    <w:p w:rsidR="00464C18" w:rsidRPr="0075693D" w:rsidRDefault="00464C18" w:rsidP="00FE73C0">
      <w:pPr>
        <w:spacing w:after="0" w:line="480" w:lineRule="auto"/>
        <w:ind w:firstLine="567"/>
        <w:jc w:val="both"/>
        <w:rPr>
          <w:rFonts w:asciiTheme="minorHAnsi" w:hAnsiTheme="minorHAnsi"/>
          <w:sz w:val="24"/>
          <w:szCs w:val="24"/>
        </w:rPr>
      </w:pPr>
    </w:p>
    <w:p w:rsidR="00FE73C0" w:rsidRPr="0075693D" w:rsidRDefault="00FE73C0" w:rsidP="00FE73C0">
      <w:pPr>
        <w:spacing w:after="0" w:line="480" w:lineRule="auto"/>
        <w:ind w:firstLine="567"/>
        <w:jc w:val="both"/>
        <w:rPr>
          <w:rFonts w:asciiTheme="minorHAnsi" w:hAnsiTheme="minorHAnsi"/>
          <w:i/>
          <w:sz w:val="24"/>
          <w:szCs w:val="24"/>
          <w:lang w:val="en-US"/>
        </w:rPr>
      </w:pPr>
      <w:r w:rsidRPr="0075693D">
        <w:rPr>
          <w:rFonts w:asciiTheme="minorHAnsi" w:hAnsiTheme="minorHAnsi"/>
          <w:sz w:val="24"/>
          <w:szCs w:val="24"/>
        </w:rPr>
        <w:t xml:space="preserve">A globalização colocou um novo enfoque no conhecimento como gerador de inovação, o recurso fundamental para o sucesso económico dos países, das regiões, das empresas e das próprias pessoas na sociedade da tecnologia da informação e da comunicação que caracteriza a actualidade. Neste cenário, a necessidade de preparar as pessoas para fazer face à mudança e serem elas próprias agentes de mudança é crucial para o sucesso pessoal, económico, social e cultural. </w:t>
      </w:r>
      <w:r w:rsidRPr="0075693D">
        <w:rPr>
          <w:rFonts w:asciiTheme="minorHAnsi" w:hAnsiTheme="minorHAnsi"/>
          <w:sz w:val="24"/>
          <w:szCs w:val="24"/>
          <w:lang w:val="en-US"/>
        </w:rPr>
        <w:t>Esta necessidade foi transformada num dos objectivos da União Europeia, como ficou expresso no Conselho Europeu de Lisboa, em Março de 2000 (</w:t>
      </w:r>
      <w:hyperlink r:id="rId8" w:history="1">
        <w:r w:rsidRPr="0075693D">
          <w:rPr>
            <w:rFonts w:asciiTheme="minorHAnsi" w:hAnsiTheme="minorHAnsi"/>
            <w:sz w:val="24"/>
            <w:szCs w:val="24"/>
            <w:lang w:val="en-US"/>
          </w:rPr>
          <w:t>http://ec.europa.eu/</w:t>
        </w:r>
      </w:hyperlink>
      <w:r w:rsidRPr="0075693D">
        <w:rPr>
          <w:rFonts w:asciiTheme="minorHAnsi" w:hAnsiTheme="minorHAnsi"/>
          <w:sz w:val="24"/>
          <w:szCs w:val="24"/>
          <w:lang w:val="en-US"/>
        </w:rPr>
        <w:t xml:space="preserve"> employment_social/knowledge_ society/): “</w:t>
      </w:r>
      <w:r w:rsidRPr="0075693D">
        <w:rPr>
          <w:rFonts w:asciiTheme="minorHAnsi" w:hAnsiTheme="minorHAnsi"/>
          <w:i/>
          <w:sz w:val="24"/>
          <w:szCs w:val="24"/>
          <w:lang w:val="en-US"/>
        </w:rPr>
        <w:t xml:space="preserve">The fast development of the Information and Communication Technology (ICT) has brought about deep changes in our way of working and living, as the widespread diffusion of ICT is accompanied by organisational, commercial, social and legal innovations. Our society is now defined as the ‘Information Society’, a society in which low-cost information and ICT are in general use, or as the ‘Knowledge (-based) Society,’ to stress the fact that the most valuable asset is investment in intangible, human and social capital and that the key factors are knowledge and creativity. This new society presents great opportunities: it can mean new employment possibilities, more fulfilling jobs, new tools for education and training, </w:t>
      </w:r>
      <w:r w:rsidRPr="0075693D">
        <w:rPr>
          <w:rFonts w:asciiTheme="minorHAnsi" w:hAnsiTheme="minorHAnsi"/>
          <w:i/>
          <w:sz w:val="24"/>
          <w:szCs w:val="24"/>
          <w:lang w:val="en-US"/>
        </w:rPr>
        <w:lastRenderedPageBreak/>
        <w:t>easier access to public services, increased inclusion of disadvantaged people or regions.”.</w:t>
      </w:r>
    </w:p>
    <w:p w:rsidR="00FE73C0" w:rsidRPr="0075693D" w:rsidRDefault="00FE73C0" w:rsidP="00FE73C0">
      <w:pPr>
        <w:spacing w:after="0" w:line="480" w:lineRule="auto"/>
        <w:ind w:firstLine="567"/>
        <w:jc w:val="both"/>
        <w:rPr>
          <w:rFonts w:asciiTheme="minorHAnsi" w:hAnsiTheme="minorHAnsi"/>
          <w:sz w:val="24"/>
          <w:szCs w:val="24"/>
          <w:lang w:val="en-US"/>
        </w:rPr>
      </w:pPr>
    </w:p>
    <w:p w:rsidR="00464C18" w:rsidRPr="0075693D" w:rsidRDefault="00464C18" w:rsidP="00903501">
      <w:pPr>
        <w:pStyle w:val="Heading4"/>
        <w:rPr>
          <w:rFonts w:asciiTheme="minorHAnsi" w:hAnsiTheme="minorHAnsi"/>
        </w:rPr>
      </w:pPr>
      <w:bookmarkStart w:id="3" w:name="_Toc350536010"/>
      <w:bookmarkStart w:id="4" w:name="_Toc350731113"/>
      <w:r w:rsidRPr="0075693D">
        <w:rPr>
          <w:rFonts w:asciiTheme="minorHAnsi" w:hAnsiTheme="minorHAnsi"/>
        </w:rPr>
        <w:t>As pessoas</w:t>
      </w:r>
      <w:bookmarkEnd w:id="3"/>
      <w:bookmarkEnd w:id="4"/>
    </w:p>
    <w:p w:rsidR="008572B7" w:rsidRPr="0075693D" w:rsidRDefault="00FE73C0" w:rsidP="00FE73C0">
      <w:pPr>
        <w:spacing w:after="0" w:line="480" w:lineRule="auto"/>
        <w:ind w:firstLine="567"/>
        <w:jc w:val="both"/>
        <w:rPr>
          <w:rFonts w:asciiTheme="minorHAnsi" w:hAnsiTheme="minorHAnsi"/>
          <w:sz w:val="24"/>
          <w:szCs w:val="24"/>
        </w:rPr>
      </w:pPr>
      <w:r w:rsidRPr="0075693D">
        <w:rPr>
          <w:rFonts w:asciiTheme="minorHAnsi" w:hAnsiTheme="minorHAnsi"/>
          <w:sz w:val="24"/>
          <w:szCs w:val="24"/>
        </w:rPr>
        <w:t xml:space="preserve">A economia moderna fortemente orientada para a inovação tecnológica e organizacional tem como principal recurso o capital humano e social e como factores chave o conhecimento e criatividade (Cowan, David &amp; Foray, 2000; Lundvall, 1992; OECD, 2005; Pärna &amp; Tunzelmann, 2007; van Weert, 2006). Neste contexto o conhecimento tornou-se profundamente ideossincrático e não se difunde aberta e automaticamente entre as organizações (Lundval &amp; Johnson, 1994; Metcalfe, 1998; Pärna &amp; Tunzelmann, 2007). </w:t>
      </w:r>
    </w:p>
    <w:p w:rsidR="00FE73C0" w:rsidRPr="0075693D" w:rsidRDefault="00FE73C0" w:rsidP="00FE73C0">
      <w:pPr>
        <w:spacing w:after="0" w:line="480" w:lineRule="auto"/>
        <w:ind w:firstLine="567"/>
        <w:jc w:val="both"/>
        <w:rPr>
          <w:rFonts w:asciiTheme="minorHAnsi" w:hAnsiTheme="minorHAnsi"/>
          <w:sz w:val="24"/>
          <w:szCs w:val="24"/>
        </w:rPr>
      </w:pPr>
      <w:r w:rsidRPr="0075693D">
        <w:rPr>
          <w:rFonts w:asciiTheme="minorHAnsi" w:hAnsiTheme="minorHAnsi"/>
          <w:sz w:val="24"/>
          <w:szCs w:val="24"/>
        </w:rPr>
        <w:t>Um dos componentes chave para a alta performance de uma organização é a construção de conhecimento, ou seja, a aprendizagem e a formação contínua que geram inovação e valor. A construção de conhecimento depende de factores externos, como o nível educacional do país, a qualidade e eficiência da investigação científica realizada no país, a competitividade internacional assim como as políticas e a legislação que regulam esse contexto. A construção de conhecimento depende também de factores internos à própria organização, como a capacidade da organização para identificar, assimilar e explorar conhecimento a partir do ambiente envolvente (Cohen &amp; Levinthal, 1989; Pärna &amp; Tunzelmann, 2007). A competência para lidar com o conhecimento dependerá da capacidade de aprendizagem técnica (acerca dos instrumentos), conceptual (objectivos e estratégias) e social (valores, responsabilidade e competência social) (Kemp &amp; Weehuizen, 2004).</w:t>
      </w:r>
    </w:p>
    <w:p w:rsidR="00FE73C0" w:rsidRPr="0075693D" w:rsidRDefault="00FE73C0" w:rsidP="00FE73C0">
      <w:pPr>
        <w:spacing w:after="0" w:line="480" w:lineRule="auto"/>
        <w:ind w:firstLine="567"/>
        <w:jc w:val="both"/>
        <w:rPr>
          <w:rFonts w:asciiTheme="minorHAnsi" w:hAnsiTheme="minorHAnsi"/>
          <w:sz w:val="24"/>
          <w:szCs w:val="24"/>
        </w:rPr>
      </w:pPr>
    </w:p>
    <w:p w:rsidR="000E19D1" w:rsidRPr="0075693D" w:rsidRDefault="000E19D1" w:rsidP="00FE73C0">
      <w:pPr>
        <w:spacing w:after="0" w:line="480" w:lineRule="auto"/>
        <w:ind w:firstLine="567"/>
        <w:jc w:val="both"/>
        <w:rPr>
          <w:rFonts w:asciiTheme="minorHAnsi" w:hAnsiTheme="minorHAnsi"/>
          <w:sz w:val="24"/>
          <w:szCs w:val="24"/>
        </w:rPr>
      </w:pPr>
    </w:p>
    <w:p w:rsidR="00464C18" w:rsidRPr="0075693D" w:rsidRDefault="00464C18" w:rsidP="00464C18">
      <w:pPr>
        <w:pStyle w:val="Heading4"/>
        <w:rPr>
          <w:rFonts w:asciiTheme="minorHAnsi" w:hAnsiTheme="minorHAnsi"/>
        </w:rPr>
      </w:pPr>
      <w:bookmarkStart w:id="5" w:name="_Toc350536011"/>
      <w:bookmarkStart w:id="6" w:name="_Toc350731114"/>
      <w:r w:rsidRPr="0075693D">
        <w:rPr>
          <w:rFonts w:asciiTheme="minorHAnsi" w:hAnsiTheme="minorHAnsi"/>
        </w:rPr>
        <w:t xml:space="preserve">Formação ao </w:t>
      </w:r>
      <w:r w:rsidR="00E9275E" w:rsidRPr="0075693D">
        <w:rPr>
          <w:rFonts w:asciiTheme="minorHAnsi" w:hAnsiTheme="minorHAnsi"/>
        </w:rPr>
        <w:t>l</w:t>
      </w:r>
      <w:r w:rsidRPr="0075693D">
        <w:rPr>
          <w:rFonts w:asciiTheme="minorHAnsi" w:hAnsiTheme="minorHAnsi"/>
        </w:rPr>
        <w:t xml:space="preserve">ongo da </w:t>
      </w:r>
      <w:r w:rsidR="00E9275E" w:rsidRPr="0075693D">
        <w:rPr>
          <w:rFonts w:asciiTheme="minorHAnsi" w:hAnsiTheme="minorHAnsi"/>
        </w:rPr>
        <w:t>v</w:t>
      </w:r>
      <w:r w:rsidRPr="0075693D">
        <w:rPr>
          <w:rFonts w:asciiTheme="minorHAnsi" w:hAnsiTheme="minorHAnsi"/>
        </w:rPr>
        <w:t>ida</w:t>
      </w:r>
      <w:bookmarkEnd w:id="5"/>
      <w:bookmarkEnd w:id="6"/>
    </w:p>
    <w:p w:rsidR="00FE73C0" w:rsidRPr="0075693D" w:rsidRDefault="00FE73C0" w:rsidP="00FE73C0">
      <w:pPr>
        <w:spacing w:after="0" w:line="480" w:lineRule="auto"/>
        <w:ind w:firstLine="567"/>
        <w:jc w:val="both"/>
        <w:rPr>
          <w:rFonts w:asciiTheme="minorHAnsi" w:hAnsiTheme="minorHAnsi"/>
          <w:sz w:val="24"/>
          <w:szCs w:val="24"/>
        </w:rPr>
      </w:pPr>
      <w:r w:rsidRPr="0075693D">
        <w:rPr>
          <w:rFonts w:asciiTheme="minorHAnsi" w:hAnsiTheme="minorHAnsi"/>
          <w:sz w:val="24"/>
          <w:szCs w:val="24"/>
        </w:rPr>
        <w:t>Esta orientação da economia para o conhecimento, a criatividade e a inovação, progressivamente incrementada nas últimas duas décadas, tem tido implicações nas políticas educativas, profissionais e tecnológicas de diversos países que procuram fomentar a excelência através de políticas e práticas que incidem sobre o desenvolvimento das pessoas, do conhecimento e das oportunidades, assumindo a inovação como uma estratégia para um desempenho excelente. Esta necessidade requer uma preparação educativa e profissional das pessoas para enfrentarem tais requisitos dos contextos</w:t>
      </w:r>
      <w:r w:rsidR="000E19D1" w:rsidRPr="0075693D">
        <w:rPr>
          <w:rFonts w:asciiTheme="minorHAnsi" w:hAnsiTheme="minorHAnsi"/>
          <w:sz w:val="24"/>
          <w:szCs w:val="24"/>
        </w:rPr>
        <w:t xml:space="preserve"> que é constante e se mantém ao longo da vida</w:t>
      </w:r>
      <w:r w:rsidRPr="0075693D">
        <w:rPr>
          <w:rFonts w:asciiTheme="minorHAnsi" w:hAnsiTheme="minorHAnsi"/>
          <w:sz w:val="24"/>
          <w:szCs w:val="24"/>
        </w:rPr>
        <w:t>. É esperado que cada indivíduo desenvolva capacidades e competências – inteligência, criatividade e inovação – que lhe permitam uma adaptação e inovação com sucesso e com elevados níveis de excelência</w:t>
      </w:r>
      <w:r w:rsidR="000E19D1" w:rsidRPr="0075693D">
        <w:rPr>
          <w:rFonts w:asciiTheme="minorHAnsi" w:hAnsiTheme="minorHAnsi"/>
          <w:sz w:val="24"/>
          <w:szCs w:val="24"/>
        </w:rPr>
        <w:t xml:space="preserve"> continuamente</w:t>
      </w:r>
      <w:r w:rsidRPr="0075693D">
        <w:rPr>
          <w:rFonts w:asciiTheme="minorHAnsi" w:hAnsiTheme="minorHAnsi"/>
          <w:sz w:val="24"/>
          <w:szCs w:val="24"/>
        </w:rPr>
        <w:t xml:space="preserve">. </w:t>
      </w:r>
    </w:p>
    <w:p w:rsidR="009A4608" w:rsidRPr="0075693D" w:rsidRDefault="009A4608" w:rsidP="00FE73C0">
      <w:pPr>
        <w:spacing w:after="0" w:line="480" w:lineRule="auto"/>
        <w:ind w:firstLine="567"/>
        <w:jc w:val="both"/>
        <w:rPr>
          <w:rFonts w:asciiTheme="minorHAnsi" w:hAnsiTheme="minorHAnsi"/>
          <w:sz w:val="24"/>
          <w:szCs w:val="24"/>
        </w:rPr>
      </w:pPr>
    </w:p>
    <w:p w:rsidR="000E19D1" w:rsidRPr="0075693D" w:rsidRDefault="000E19D1" w:rsidP="00FE73C0">
      <w:pPr>
        <w:spacing w:after="0" w:line="480" w:lineRule="auto"/>
        <w:ind w:firstLine="567"/>
        <w:jc w:val="both"/>
        <w:rPr>
          <w:rFonts w:asciiTheme="minorHAnsi" w:hAnsiTheme="minorHAnsi"/>
          <w:sz w:val="24"/>
          <w:szCs w:val="24"/>
        </w:rPr>
      </w:pPr>
    </w:p>
    <w:p w:rsidR="009A4608" w:rsidRPr="0075693D" w:rsidRDefault="009A4608" w:rsidP="00464C18">
      <w:pPr>
        <w:pStyle w:val="Heading4"/>
        <w:rPr>
          <w:rFonts w:asciiTheme="minorHAnsi" w:hAnsiTheme="minorHAnsi"/>
        </w:rPr>
      </w:pPr>
      <w:bookmarkStart w:id="7" w:name="_Toc350536012"/>
      <w:bookmarkStart w:id="8" w:name="_Toc350731115"/>
      <w:r w:rsidRPr="0075693D">
        <w:rPr>
          <w:rFonts w:asciiTheme="minorHAnsi" w:hAnsiTheme="minorHAnsi"/>
        </w:rPr>
        <w:t>Novas formas de organização do trabalho</w:t>
      </w:r>
      <w:bookmarkEnd w:id="7"/>
      <w:bookmarkEnd w:id="8"/>
    </w:p>
    <w:p w:rsidR="009A4608" w:rsidRPr="0075693D" w:rsidRDefault="009A4608" w:rsidP="009A4608">
      <w:pPr>
        <w:spacing w:after="0" w:line="480" w:lineRule="auto"/>
        <w:jc w:val="both"/>
        <w:rPr>
          <w:rFonts w:asciiTheme="minorHAnsi" w:hAnsiTheme="minorHAnsi"/>
          <w:sz w:val="24"/>
          <w:szCs w:val="24"/>
        </w:rPr>
      </w:pPr>
      <w:r w:rsidRPr="0075693D">
        <w:rPr>
          <w:rFonts w:asciiTheme="minorHAnsi" w:hAnsiTheme="minorHAnsi"/>
          <w:sz w:val="24"/>
          <w:szCs w:val="24"/>
        </w:rPr>
        <w:t xml:space="preserve">Partindo do relatório do Cluster de projectos Infowork </w:t>
      </w:r>
      <w:r w:rsidR="005D6F23" w:rsidRPr="0075693D">
        <w:rPr>
          <w:rFonts w:asciiTheme="minorHAnsi" w:hAnsiTheme="minorHAnsi"/>
          <w:sz w:val="24"/>
          <w:szCs w:val="24"/>
        </w:rPr>
        <w:t>(</w:t>
      </w:r>
      <w:r w:rsidR="00D92333" w:rsidRPr="0075693D">
        <w:rPr>
          <w:rFonts w:asciiTheme="minorHAnsi" w:hAnsiTheme="minorHAnsi"/>
        </w:rPr>
        <w:t xml:space="preserve">Webster, 2004), </w:t>
      </w:r>
      <w:r w:rsidR="005D6F23" w:rsidRPr="0075693D">
        <w:rPr>
          <w:rFonts w:asciiTheme="minorHAnsi" w:hAnsiTheme="minorHAnsi"/>
          <w:sz w:val="24"/>
          <w:szCs w:val="24"/>
        </w:rPr>
        <w:t xml:space="preserve">que analisa as </w:t>
      </w:r>
      <w:r w:rsidRPr="0075693D">
        <w:rPr>
          <w:rFonts w:asciiTheme="minorHAnsi" w:hAnsiTheme="minorHAnsi"/>
          <w:sz w:val="24"/>
          <w:szCs w:val="24"/>
        </w:rPr>
        <w:t xml:space="preserve">mudanças na organização do trabalho </w:t>
      </w:r>
      <w:r w:rsidR="005D6F23" w:rsidRPr="0075693D">
        <w:rPr>
          <w:rFonts w:asciiTheme="minorHAnsi" w:hAnsiTheme="minorHAnsi"/>
          <w:sz w:val="24"/>
          <w:szCs w:val="24"/>
        </w:rPr>
        <w:t xml:space="preserve">na Europa </w:t>
      </w:r>
      <w:r w:rsidRPr="0075693D">
        <w:rPr>
          <w:rFonts w:asciiTheme="minorHAnsi" w:hAnsiTheme="minorHAnsi"/>
          <w:sz w:val="24"/>
          <w:szCs w:val="24"/>
        </w:rPr>
        <w:t>e que lançam luz sobre as i</w:t>
      </w:r>
      <w:r w:rsidR="005D6F23" w:rsidRPr="0075693D">
        <w:rPr>
          <w:rFonts w:asciiTheme="minorHAnsi" w:hAnsiTheme="minorHAnsi"/>
          <w:sz w:val="24"/>
          <w:szCs w:val="24"/>
        </w:rPr>
        <w:t xml:space="preserve">mplicações dessas mudanças para </w:t>
      </w:r>
      <w:r w:rsidRPr="0075693D">
        <w:rPr>
          <w:rFonts w:asciiTheme="minorHAnsi" w:hAnsiTheme="minorHAnsi"/>
          <w:sz w:val="24"/>
          <w:szCs w:val="24"/>
        </w:rPr>
        <w:t xml:space="preserve">a vida dos trabalhadores, </w:t>
      </w:r>
      <w:r w:rsidR="005D6F23" w:rsidRPr="0075693D">
        <w:rPr>
          <w:rFonts w:asciiTheme="minorHAnsi" w:hAnsiTheme="minorHAnsi"/>
          <w:sz w:val="24"/>
          <w:szCs w:val="24"/>
        </w:rPr>
        <w:t xml:space="preserve">das </w:t>
      </w:r>
      <w:r w:rsidRPr="0075693D">
        <w:rPr>
          <w:rFonts w:asciiTheme="minorHAnsi" w:hAnsiTheme="minorHAnsi"/>
          <w:sz w:val="24"/>
          <w:szCs w:val="24"/>
        </w:rPr>
        <w:t>suas famílias e suas comunidades</w:t>
      </w:r>
      <w:r w:rsidR="005D6F23" w:rsidRPr="0075693D">
        <w:rPr>
          <w:rFonts w:asciiTheme="minorHAnsi" w:hAnsiTheme="minorHAnsi"/>
          <w:sz w:val="24"/>
          <w:szCs w:val="24"/>
        </w:rPr>
        <w:t xml:space="preserve">, especialmente em termos das </w:t>
      </w:r>
      <w:r w:rsidRPr="0075693D">
        <w:rPr>
          <w:rFonts w:asciiTheme="minorHAnsi" w:hAnsiTheme="minorHAnsi"/>
          <w:sz w:val="24"/>
          <w:szCs w:val="24"/>
        </w:rPr>
        <w:t xml:space="preserve">relações </w:t>
      </w:r>
      <w:r w:rsidR="005D6F23" w:rsidRPr="0075693D">
        <w:rPr>
          <w:rFonts w:asciiTheme="minorHAnsi" w:hAnsiTheme="minorHAnsi"/>
          <w:sz w:val="24"/>
          <w:szCs w:val="24"/>
        </w:rPr>
        <w:t xml:space="preserve">e dos limites </w:t>
      </w:r>
      <w:r w:rsidRPr="0075693D">
        <w:rPr>
          <w:rFonts w:asciiTheme="minorHAnsi" w:hAnsiTheme="minorHAnsi"/>
          <w:sz w:val="24"/>
          <w:szCs w:val="24"/>
        </w:rPr>
        <w:t>entre o emprego e outros aspec</w:t>
      </w:r>
      <w:r w:rsidR="005D6F23" w:rsidRPr="0075693D">
        <w:rPr>
          <w:rFonts w:asciiTheme="minorHAnsi" w:hAnsiTheme="minorHAnsi"/>
          <w:sz w:val="24"/>
          <w:szCs w:val="24"/>
        </w:rPr>
        <w:t>tos da vida individual e social, percebemos que a proposta de 1993 de Jacques Delors de mudar a forma de organização do trabalho e do uso do tempo de trabalho e a introdução da flexibilidade laboral é uma realidade europeia.</w:t>
      </w:r>
    </w:p>
    <w:p w:rsidR="005D6F23" w:rsidRPr="0075693D" w:rsidRDefault="005D6F23" w:rsidP="005D6F23">
      <w:pPr>
        <w:spacing w:after="0" w:line="480" w:lineRule="auto"/>
        <w:jc w:val="both"/>
        <w:rPr>
          <w:rFonts w:asciiTheme="minorHAnsi" w:hAnsiTheme="minorHAnsi"/>
          <w:sz w:val="24"/>
          <w:szCs w:val="24"/>
        </w:rPr>
      </w:pPr>
      <w:r w:rsidRPr="0075693D">
        <w:rPr>
          <w:rFonts w:asciiTheme="minorHAnsi" w:hAnsiTheme="minorHAnsi"/>
          <w:sz w:val="24"/>
          <w:szCs w:val="24"/>
        </w:rPr>
        <w:lastRenderedPageBreak/>
        <w:t>As organizações europeias aumentaram progressivamente a utilização do tempo de trabalho 'fora do padrão', trabalho a tempo parcial. Durante a</w:t>
      </w:r>
      <w:r w:rsidR="000E19D1" w:rsidRPr="0075693D">
        <w:rPr>
          <w:rFonts w:asciiTheme="minorHAnsi" w:hAnsiTheme="minorHAnsi"/>
          <w:sz w:val="24"/>
          <w:szCs w:val="24"/>
        </w:rPr>
        <w:t>s</w:t>
      </w:r>
      <w:r w:rsidRPr="0075693D">
        <w:rPr>
          <w:rFonts w:asciiTheme="minorHAnsi" w:hAnsiTheme="minorHAnsi"/>
          <w:sz w:val="24"/>
          <w:szCs w:val="24"/>
        </w:rPr>
        <w:t xml:space="preserve"> </w:t>
      </w:r>
      <w:r w:rsidR="000E19D1" w:rsidRPr="0075693D">
        <w:rPr>
          <w:rFonts w:asciiTheme="minorHAnsi" w:hAnsiTheme="minorHAnsi"/>
          <w:sz w:val="24"/>
          <w:szCs w:val="24"/>
        </w:rPr>
        <w:t>últimas</w:t>
      </w:r>
      <w:r w:rsidRPr="0075693D">
        <w:rPr>
          <w:rFonts w:asciiTheme="minorHAnsi" w:hAnsiTheme="minorHAnsi"/>
          <w:sz w:val="24"/>
          <w:szCs w:val="24"/>
        </w:rPr>
        <w:t xml:space="preserve"> duas décadas o trabalho a tempo parcial aumentou constantemente em toda a UE (Fundação Europeia de 1992, 1997, 2001; CEC 2000). O aumento do trabalho a tempo parcial foi responsável pelo aumento líquido de pleno emprego, assim como os postos de trabalho que foram criados na Europa foram </w:t>
      </w:r>
      <w:r w:rsidR="000E19D1" w:rsidRPr="0075693D">
        <w:rPr>
          <w:rFonts w:asciiTheme="minorHAnsi" w:hAnsiTheme="minorHAnsi"/>
          <w:sz w:val="24"/>
          <w:szCs w:val="24"/>
        </w:rPr>
        <w:t>principalmente a tempo parcial</w:t>
      </w:r>
      <w:r w:rsidRPr="0075693D">
        <w:rPr>
          <w:rFonts w:asciiTheme="minorHAnsi" w:hAnsiTheme="minorHAnsi"/>
          <w:sz w:val="24"/>
          <w:szCs w:val="24"/>
        </w:rPr>
        <w:t xml:space="preserve"> (CEC 2000).</w:t>
      </w:r>
    </w:p>
    <w:p w:rsidR="00ED610D" w:rsidRPr="0075693D" w:rsidRDefault="005D6F23" w:rsidP="005D6F23">
      <w:pPr>
        <w:spacing w:after="0" w:line="480" w:lineRule="auto"/>
        <w:jc w:val="both"/>
        <w:rPr>
          <w:rFonts w:asciiTheme="minorHAnsi" w:hAnsiTheme="minorHAnsi"/>
          <w:sz w:val="24"/>
          <w:szCs w:val="24"/>
        </w:rPr>
      </w:pPr>
      <w:r w:rsidRPr="0075693D">
        <w:rPr>
          <w:rFonts w:asciiTheme="minorHAnsi" w:hAnsiTheme="minorHAnsi"/>
          <w:sz w:val="24"/>
          <w:szCs w:val="24"/>
        </w:rPr>
        <w:t xml:space="preserve">Por outro lado, assistiu-se a uma “Intensificação do trabalho” </w:t>
      </w:r>
      <w:r w:rsidR="00ED610D" w:rsidRPr="0075693D">
        <w:rPr>
          <w:rFonts w:asciiTheme="minorHAnsi" w:hAnsiTheme="minorHAnsi"/>
          <w:sz w:val="24"/>
          <w:szCs w:val="24"/>
        </w:rPr>
        <w:t xml:space="preserve">– os trabalhadores viram os seus tempos privados no </w:t>
      </w:r>
      <w:r w:rsidR="00815B63" w:rsidRPr="0075693D">
        <w:rPr>
          <w:rFonts w:asciiTheme="minorHAnsi" w:hAnsiTheme="minorHAnsi"/>
          <w:sz w:val="24"/>
          <w:szCs w:val="24"/>
        </w:rPr>
        <w:t>trabalho</w:t>
      </w:r>
      <w:r w:rsidR="00ED610D" w:rsidRPr="0075693D">
        <w:rPr>
          <w:rFonts w:asciiTheme="minorHAnsi" w:hAnsiTheme="minorHAnsi"/>
          <w:sz w:val="24"/>
          <w:szCs w:val="24"/>
        </w:rPr>
        <w:t xml:space="preserve"> progressivamente e intensivamente tomados pelo tempo de </w:t>
      </w:r>
      <w:r w:rsidR="00815B63" w:rsidRPr="0075693D">
        <w:rPr>
          <w:rFonts w:asciiTheme="minorHAnsi" w:hAnsiTheme="minorHAnsi"/>
          <w:sz w:val="24"/>
          <w:szCs w:val="24"/>
        </w:rPr>
        <w:t>trabalho (Ex. dos Call C</w:t>
      </w:r>
      <w:r w:rsidR="00ED610D" w:rsidRPr="0075693D">
        <w:rPr>
          <w:rFonts w:asciiTheme="minorHAnsi" w:hAnsiTheme="minorHAnsi"/>
          <w:sz w:val="24"/>
          <w:szCs w:val="24"/>
        </w:rPr>
        <w:t xml:space="preserve">enter, em que se controlam todas as ausências do local de </w:t>
      </w:r>
      <w:r w:rsidR="00815B63" w:rsidRPr="0075693D">
        <w:rPr>
          <w:rFonts w:asciiTheme="minorHAnsi" w:hAnsiTheme="minorHAnsi"/>
          <w:sz w:val="24"/>
          <w:szCs w:val="24"/>
        </w:rPr>
        <w:t>trabalho</w:t>
      </w:r>
      <w:r w:rsidR="00ED610D" w:rsidRPr="0075693D">
        <w:rPr>
          <w:rFonts w:asciiTheme="minorHAnsi" w:hAnsiTheme="minorHAnsi"/>
          <w:sz w:val="24"/>
          <w:szCs w:val="24"/>
        </w:rPr>
        <w:t xml:space="preserve">). </w:t>
      </w:r>
    </w:p>
    <w:p w:rsidR="008572B7" w:rsidRPr="0075693D" w:rsidRDefault="00ED610D" w:rsidP="00C30EB6">
      <w:pPr>
        <w:spacing w:after="0" w:line="480" w:lineRule="auto"/>
        <w:jc w:val="both"/>
        <w:rPr>
          <w:rFonts w:asciiTheme="minorHAnsi" w:hAnsiTheme="minorHAnsi"/>
          <w:sz w:val="24"/>
          <w:szCs w:val="24"/>
        </w:rPr>
      </w:pPr>
      <w:r w:rsidRPr="0075693D">
        <w:rPr>
          <w:rFonts w:asciiTheme="minorHAnsi" w:hAnsiTheme="minorHAnsi"/>
          <w:sz w:val="24"/>
          <w:szCs w:val="24"/>
        </w:rPr>
        <w:t>Noutras áreas profissionais a intensificação do trabalho expressa-se através da auto-exploração, mais do que a auto-exploração e é alcançada através da organização do tr</w:t>
      </w:r>
      <w:r w:rsidR="000E19D1" w:rsidRPr="0075693D">
        <w:rPr>
          <w:rFonts w:asciiTheme="minorHAnsi" w:hAnsiTheme="minorHAnsi"/>
          <w:sz w:val="24"/>
          <w:szCs w:val="24"/>
        </w:rPr>
        <w:t>a</w:t>
      </w:r>
      <w:r w:rsidRPr="0075693D">
        <w:rPr>
          <w:rFonts w:asciiTheme="minorHAnsi" w:hAnsiTheme="minorHAnsi"/>
          <w:sz w:val="24"/>
          <w:szCs w:val="24"/>
        </w:rPr>
        <w:t>balho em função de objectivos a cumprir em prazos curtos, ou através de pressão dos clientes e através do ‘levar trabalho para casa’</w:t>
      </w:r>
      <w:r w:rsidR="00C30EB6" w:rsidRPr="0075693D">
        <w:rPr>
          <w:rFonts w:asciiTheme="minorHAnsi" w:hAnsiTheme="minorHAnsi"/>
          <w:sz w:val="24"/>
          <w:szCs w:val="24"/>
        </w:rPr>
        <w:t xml:space="preserve">. Este tipo de pressão está fortemente presente nas profissões de TI, </w:t>
      </w:r>
      <w:r w:rsidRPr="0075693D">
        <w:rPr>
          <w:rFonts w:asciiTheme="minorHAnsi" w:hAnsiTheme="minorHAnsi"/>
          <w:sz w:val="24"/>
          <w:szCs w:val="24"/>
        </w:rPr>
        <w:t xml:space="preserve">onde há </w:t>
      </w:r>
      <w:r w:rsidR="00C30EB6" w:rsidRPr="0075693D">
        <w:rPr>
          <w:rFonts w:asciiTheme="minorHAnsi" w:hAnsiTheme="minorHAnsi"/>
          <w:sz w:val="24"/>
          <w:szCs w:val="24"/>
        </w:rPr>
        <w:t xml:space="preserve">considerável </w:t>
      </w:r>
      <w:r w:rsidRPr="0075693D">
        <w:rPr>
          <w:rFonts w:asciiTheme="minorHAnsi" w:hAnsiTheme="minorHAnsi"/>
          <w:sz w:val="24"/>
          <w:szCs w:val="24"/>
        </w:rPr>
        <w:t>autonomia</w:t>
      </w:r>
      <w:r w:rsidR="00C30EB6" w:rsidRPr="0075693D">
        <w:rPr>
          <w:rFonts w:asciiTheme="minorHAnsi" w:hAnsiTheme="minorHAnsi"/>
          <w:sz w:val="24"/>
          <w:szCs w:val="24"/>
        </w:rPr>
        <w:t xml:space="preserve"> de</w:t>
      </w:r>
      <w:r w:rsidRPr="0075693D">
        <w:rPr>
          <w:rFonts w:asciiTheme="minorHAnsi" w:hAnsiTheme="minorHAnsi"/>
          <w:sz w:val="24"/>
          <w:szCs w:val="24"/>
        </w:rPr>
        <w:t xml:space="preserve"> tempo de trabalho, mas muitas vezes a pressão de trabalho </w:t>
      </w:r>
      <w:r w:rsidR="00C30EB6" w:rsidRPr="0075693D">
        <w:rPr>
          <w:rFonts w:asciiTheme="minorHAnsi" w:hAnsiTheme="minorHAnsi"/>
          <w:sz w:val="24"/>
          <w:szCs w:val="24"/>
        </w:rPr>
        <w:t xml:space="preserve">é </w:t>
      </w:r>
      <w:r w:rsidRPr="0075693D">
        <w:rPr>
          <w:rFonts w:asciiTheme="minorHAnsi" w:hAnsiTheme="minorHAnsi"/>
          <w:sz w:val="24"/>
          <w:szCs w:val="24"/>
        </w:rPr>
        <w:t>consideráv</w:t>
      </w:r>
      <w:r w:rsidR="00C30EB6" w:rsidRPr="0075693D">
        <w:rPr>
          <w:rFonts w:asciiTheme="minorHAnsi" w:hAnsiTheme="minorHAnsi"/>
          <w:sz w:val="24"/>
          <w:szCs w:val="24"/>
        </w:rPr>
        <w:t xml:space="preserve">el, </w:t>
      </w:r>
      <w:r w:rsidRPr="0075693D">
        <w:rPr>
          <w:rFonts w:asciiTheme="minorHAnsi" w:hAnsiTheme="minorHAnsi"/>
          <w:sz w:val="24"/>
          <w:szCs w:val="24"/>
        </w:rPr>
        <w:t>levando a</w:t>
      </w:r>
      <w:r w:rsidR="00C30EB6" w:rsidRPr="0075693D">
        <w:rPr>
          <w:rFonts w:asciiTheme="minorHAnsi" w:hAnsiTheme="minorHAnsi"/>
          <w:sz w:val="24"/>
          <w:szCs w:val="24"/>
        </w:rPr>
        <w:t>o</w:t>
      </w:r>
      <w:r w:rsidRPr="0075693D">
        <w:rPr>
          <w:rFonts w:asciiTheme="minorHAnsi" w:hAnsiTheme="minorHAnsi"/>
          <w:sz w:val="24"/>
          <w:szCs w:val="24"/>
        </w:rPr>
        <w:t xml:space="preserve"> que Lehndorff (2001) chama de "flexibilidade a</w:t>
      </w:r>
      <w:r w:rsidR="000E19D1" w:rsidRPr="0075693D">
        <w:rPr>
          <w:rFonts w:asciiTheme="minorHAnsi" w:hAnsiTheme="minorHAnsi"/>
          <w:sz w:val="24"/>
          <w:szCs w:val="24"/>
        </w:rPr>
        <w:t>c</w:t>
      </w:r>
      <w:r w:rsidRPr="0075693D">
        <w:rPr>
          <w:rFonts w:asciiTheme="minorHAnsi" w:hAnsiTheme="minorHAnsi"/>
          <w:sz w:val="24"/>
          <w:szCs w:val="24"/>
        </w:rPr>
        <w:t>tiva através d</w:t>
      </w:r>
      <w:r w:rsidR="00C30EB6" w:rsidRPr="0075693D">
        <w:rPr>
          <w:rFonts w:asciiTheme="minorHAnsi" w:hAnsiTheme="minorHAnsi"/>
          <w:sz w:val="24"/>
          <w:szCs w:val="24"/>
        </w:rPr>
        <w:t>e auto-organização".</w:t>
      </w:r>
    </w:p>
    <w:p w:rsidR="00815B63" w:rsidRPr="0075693D" w:rsidRDefault="00815B63" w:rsidP="00C30EB6">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As consequências desta</w:t>
      </w:r>
      <w:r w:rsidR="00980550" w:rsidRPr="0075693D">
        <w:rPr>
          <w:rFonts w:asciiTheme="minorHAnsi" w:hAnsiTheme="minorHAnsi"/>
          <w:sz w:val="24"/>
          <w:szCs w:val="24"/>
        </w:rPr>
        <w:t>s</w:t>
      </w:r>
      <w:r w:rsidRPr="0075693D">
        <w:rPr>
          <w:rFonts w:asciiTheme="minorHAnsi" w:hAnsiTheme="minorHAnsi"/>
          <w:sz w:val="24"/>
          <w:szCs w:val="24"/>
        </w:rPr>
        <w:t xml:space="preserve"> exigências de formação ao longo da vida e de maior flexibilidade laboral estendem-se desde a gestão do tempo privado (pessoal e familiar), alteração dos hábitos de vida (interrupção dos tempos de descanso como o sono, ou o fim de semana ou as próprias férias) que podem requerer </w:t>
      </w:r>
      <w:r w:rsidR="00C30EB6" w:rsidRPr="0075693D">
        <w:rPr>
          <w:rFonts w:asciiTheme="minorHAnsi" w:hAnsiTheme="minorHAnsi"/>
          <w:sz w:val="24"/>
          <w:szCs w:val="24"/>
        </w:rPr>
        <w:t>complexos e demorados arranjos domésticos, a fim de satisfazer</w:t>
      </w:r>
      <w:r w:rsidRPr="0075693D">
        <w:rPr>
          <w:rFonts w:asciiTheme="minorHAnsi" w:hAnsiTheme="minorHAnsi"/>
          <w:sz w:val="24"/>
          <w:szCs w:val="24"/>
        </w:rPr>
        <w:t xml:space="preserve"> os requisitos do trabalho e da família. E algumas vezes experimentam-se dificuldades de equilíbrio entre os requisitos </w:t>
      </w:r>
      <w:r w:rsidRPr="0075693D">
        <w:rPr>
          <w:rFonts w:asciiTheme="minorHAnsi" w:hAnsiTheme="minorHAnsi"/>
          <w:sz w:val="24"/>
          <w:szCs w:val="24"/>
        </w:rPr>
        <w:lastRenderedPageBreak/>
        <w:t>do trabalho e as necessidades dos membros mais novos ou mais idosos da família. Podendo induzir stresse fadiga e a capacidade de envolvimento afectivo e social.</w:t>
      </w:r>
    </w:p>
    <w:p w:rsidR="00980550" w:rsidRPr="0075693D" w:rsidRDefault="00815B63" w:rsidP="00E10192">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Como sugere Webster (20</w:t>
      </w:r>
      <w:r w:rsidR="00980550" w:rsidRPr="0075693D">
        <w:rPr>
          <w:rFonts w:asciiTheme="minorHAnsi" w:hAnsiTheme="minorHAnsi"/>
          <w:sz w:val="24"/>
          <w:szCs w:val="24"/>
        </w:rPr>
        <w:t>04) no relatório da Infowork, se as repercussões do trabalho</w:t>
      </w:r>
      <w:r w:rsidR="000E19D1" w:rsidRPr="0075693D">
        <w:rPr>
          <w:rFonts w:asciiTheme="minorHAnsi" w:hAnsiTheme="minorHAnsi"/>
          <w:sz w:val="24"/>
          <w:szCs w:val="24"/>
        </w:rPr>
        <w:t xml:space="preserve"> </w:t>
      </w:r>
      <w:r w:rsidR="00980550" w:rsidRPr="0075693D">
        <w:rPr>
          <w:rFonts w:asciiTheme="minorHAnsi" w:hAnsiTheme="minorHAnsi"/>
          <w:sz w:val="24"/>
          <w:szCs w:val="24"/>
        </w:rPr>
        <w:t xml:space="preserve">são tão abrangentes como a pesquisa sugere, é importante olhar para esta questão do ponto de vista do </w:t>
      </w:r>
      <w:r w:rsidR="00E66807" w:rsidRPr="0075693D">
        <w:rPr>
          <w:rFonts w:asciiTheme="minorHAnsi" w:hAnsiTheme="minorHAnsi"/>
          <w:sz w:val="24"/>
          <w:szCs w:val="24"/>
        </w:rPr>
        <w:t xml:space="preserve">"equilíbrio trabalho-vida" </w:t>
      </w:r>
      <w:r w:rsidR="00980550" w:rsidRPr="0075693D">
        <w:rPr>
          <w:rFonts w:asciiTheme="minorHAnsi" w:hAnsiTheme="minorHAnsi"/>
          <w:sz w:val="24"/>
          <w:szCs w:val="24"/>
        </w:rPr>
        <w:t xml:space="preserve">enfatizando a sua "sustentabilidade social". Ou seja, </w:t>
      </w:r>
      <w:r w:rsidR="00E66807" w:rsidRPr="0075693D">
        <w:rPr>
          <w:rFonts w:asciiTheme="minorHAnsi" w:hAnsiTheme="minorHAnsi"/>
          <w:sz w:val="24"/>
          <w:szCs w:val="24"/>
        </w:rPr>
        <w:t xml:space="preserve">a organização do trabalho </w:t>
      </w:r>
      <w:r w:rsidR="00980550" w:rsidRPr="0075693D">
        <w:rPr>
          <w:rFonts w:asciiTheme="minorHAnsi" w:hAnsiTheme="minorHAnsi"/>
          <w:sz w:val="24"/>
          <w:szCs w:val="24"/>
        </w:rPr>
        <w:t xml:space="preserve">deve ser vista </w:t>
      </w:r>
      <w:r w:rsidR="00E66807" w:rsidRPr="0075693D">
        <w:rPr>
          <w:rFonts w:asciiTheme="minorHAnsi" w:hAnsiTheme="minorHAnsi"/>
          <w:sz w:val="24"/>
          <w:szCs w:val="24"/>
        </w:rPr>
        <w:t>como uma questão que é fundamental não só</w:t>
      </w:r>
      <w:r w:rsidR="00980550" w:rsidRPr="0075693D">
        <w:rPr>
          <w:rFonts w:asciiTheme="minorHAnsi" w:hAnsiTheme="minorHAnsi"/>
          <w:sz w:val="24"/>
          <w:szCs w:val="24"/>
        </w:rPr>
        <w:t xml:space="preserve"> </w:t>
      </w:r>
      <w:r w:rsidR="00E66807" w:rsidRPr="0075693D">
        <w:rPr>
          <w:rFonts w:asciiTheme="minorHAnsi" w:hAnsiTheme="minorHAnsi"/>
          <w:sz w:val="24"/>
          <w:szCs w:val="24"/>
        </w:rPr>
        <w:t>para o bem-estar de grupos específicos de trabalhadores, mas como aquela que afe</w:t>
      </w:r>
      <w:r w:rsidR="00980550" w:rsidRPr="0075693D">
        <w:rPr>
          <w:rFonts w:asciiTheme="minorHAnsi" w:hAnsiTheme="minorHAnsi"/>
          <w:sz w:val="24"/>
          <w:szCs w:val="24"/>
        </w:rPr>
        <w:t>c</w:t>
      </w:r>
      <w:r w:rsidR="00E66807" w:rsidRPr="0075693D">
        <w:rPr>
          <w:rFonts w:asciiTheme="minorHAnsi" w:hAnsiTheme="minorHAnsi"/>
          <w:sz w:val="24"/>
          <w:szCs w:val="24"/>
        </w:rPr>
        <w:t>ta as mulheres, homens,</w:t>
      </w:r>
      <w:r w:rsidR="00980550" w:rsidRPr="0075693D">
        <w:rPr>
          <w:rFonts w:asciiTheme="minorHAnsi" w:hAnsiTheme="minorHAnsi"/>
          <w:sz w:val="24"/>
          <w:szCs w:val="24"/>
        </w:rPr>
        <w:t xml:space="preserve"> </w:t>
      </w:r>
      <w:r w:rsidR="00E66807" w:rsidRPr="0075693D">
        <w:rPr>
          <w:rFonts w:asciiTheme="minorHAnsi" w:hAnsiTheme="minorHAnsi"/>
          <w:sz w:val="24"/>
          <w:szCs w:val="24"/>
        </w:rPr>
        <w:t>crianças, famílias, cidadãos, co</w:t>
      </w:r>
      <w:r w:rsidR="00980550" w:rsidRPr="0075693D">
        <w:rPr>
          <w:rFonts w:asciiTheme="minorHAnsi" w:hAnsiTheme="minorHAnsi"/>
          <w:sz w:val="24"/>
          <w:szCs w:val="24"/>
        </w:rPr>
        <w:t xml:space="preserve">munidades e sociedade em geral, bem como a própria sobrevivência </w:t>
      </w:r>
      <w:r w:rsidR="00E66807" w:rsidRPr="0075693D">
        <w:rPr>
          <w:rFonts w:asciiTheme="minorHAnsi" w:hAnsiTheme="minorHAnsi"/>
          <w:sz w:val="24"/>
          <w:szCs w:val="24"/>
        </w:rPr>
        <w:t xml:space="preserve">do </w:t>
      </w:r>
      <w:r w:rsidR="00980550" w:rsidRPr="0075693D">
        <w:rPr>
          <w:rFonts w:asciiTheme="minorHAnsi" w:hAnsiTheme="minorHAnsi"/>
          <w:sz w:val="24"/>
          <w:szCs w:val="24"/>
        </w:rPr>
        <w:t>Espaço Europeu, dando oportunidades às pessoas “</w:t>
      </w:r>
      <w:r w:rsidR="00980550" w:rsidRPr="0075693D">
        <w:rPr>
          <w:rFonts w:asciiTheme="minorHAnsi" w:hAnsiTheme="minorHAnsi"/>
          <w:i/>
          <w:sz w:val="24"/>
          <w:szCs w:val="24"/>
        </w:rPr>
        <w:t>to b</w:t>
      </w:r>
      <w:r w:rsidR="00E10192" w:rsidRPr="0075693D">
        <w:rPr>
          <w:rFonts w:asciiTheme="minorHAnsi" w:hAnsiTheme="minorHAnsi"/>
          <w:i/>
          <w:sz w:val="24"/>
          <w:szCs w:val="24"/>
        </w:rPr>
        <w:t>alance their working lives with their private lives</w:t>
      </w:r>
      <w:r w:rsidR="00980550" w:rsidRPr="0075693D">
        <w:rPr>
          <w:rFonts w:asciiTheme="minorHAnsi" w:hAnsiTheme="minorHAnsi"/>
          <w:i/>
          <w:sz w:val="24"/>
          <w:szCs w:val="24"/>
        </w:rPr>
        <w:t>”.</w:t>
      </w:r>
    </w:p>
    <w:p w:rsidR="00CD4F6D" w:rsidRPr="0075693D" w:rsidRDefault="00CD4F6D" w:rsidP="00CD4F6D">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http://www.tcd.ie/ERC/past%20symposia/infowork%20symposia%20docs/Infowork%20Knowledge.pdf</w:t>
      </w:r>
    </w:p>
    <w:p w:rsidR="00980550" w:rsidRPr="0075693D" w:rsidRDefault="00980550" w:rsidP="00E10192">
      <w:pPr>
        <w:autoSpaceDE w:val="0"/>
        <w:autoSpaceDN w:val="0"/>
        <w:adjustRightInd w:val="0"/>
        <w:spacing w:after="0" w:line="480" w:lineRule="auto"/>
        <w:jc w:val="both"/>
        <w:rPr>
          <w:rFonts w:asciiTheme="minorHAnsi" w:hAnsiTheme="minorHAnsi"/>
          <w:sz w:val="24"/>
          <w:szCs w:val="24"/>
        </w:rPr>
      </w:pPr>
    </w:p>
    <w:p w:rsidR="00980550" w:rsidRPr="0075693D" w:rsidRDefault="004D1F01" w:rsidP="00980550">
      <w:pPr>
        <w:pStyle w:val="Heading2"/>
        <w:rPr>
          <w:rFonts w:asciiTheme="minorHAnsi" w:hAnsiTheme="minorHAnsi"/>
        </w:rPr>
      </w:pPr>
      <w:bookmarkStart w:id="9" w:name="_Toc350731116"/>
      <w:r w:rsidRPr="0075693D">
        <w:rPr>
          <w:rFonts w:asciiTheme="minorHAnsi" w:hAnsiTheme="minorHAnsi"/>
        </w:rPr>
        <w:t>F</w:t>
      </w:r>
      <w:r w:rsidR="00CD4F6D" w:rsidRPr="0075693D">
        <w:rPr>
          <w:rFonts w:asciiTheme="minorHAnsi" w:hAnsiTheme="minorHAnsi"/>
        </w:rPr>
        <w:t>amília</w:t>
      </w:r>
      <w:bookmarkEnd w:id="9"/>
    </w:p>
    <w:p w:rsidR="004630C7" w:rsidRPr="0075693D" w:rsidRDefault="000E19D1" w:rsidP="004630C7">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O</w:t>
      </w:r>
      <w:r w:rsidR="004630C7" w:rsidRPr="0075693D">
        <w:rPr>
          <w:rFonts w:asciiTheme="minorHAnsi" w:hAnsiTheme="minorHAnsi"/>
          <w:sz w:val="24"/>
          <w:szCs w:val="24"/>
        </w:rPr>
        <w:t xml:space="preserve"> aumento da longevidade humana provocou modificações nas estruturas familiares, especialmente no que diz respeito ao envolvimento e à participação dos avós na vida familiar (Dias; Costa</w:t>
      </w:r>
      <w:r w:rsidR="00082B4D" w:rsidRPr="0075693D">
        <w:rPr>
          <w:rFonts w:asciiTheme="minorHAnsi" w:hAnsiTheme="minorHAnsi"/>
          <w:sz w:val="24"/>
          <w:szCs w:val="24"/>
        </w:rPr>
        <w:t xml:space="preserve"> &amp; </w:t>
      </w:r>
      <w:r w:rsidR="004630C7" w:rsidRPr="0075693D">
        <w:rPr>
          <w:rFonts w:asciiTheme="minorHAnsi" w:hAnsiTheme="minorHAnsi"/>
          <w:sz w:val="24"/>
          <w:szCs w:val="24"/>
        </w:rPr>
        <w:t>Rangel, 2005</w:t>
      </w:r>
      <w:r w:rsidR="00082B4D" w:rsidRPr="0075693D">
        <w:rPr>
          <w:rFonts w:asciiTheme="minorHAnsi" w:hAnsiTheme="minorHAnsi"/>
          <w:sz w:val="24"/>
          <w:szCs w:val="24"/>
        </w:rPr>
        <w:t>; Dias, Hora &amp; Aguiar, 2010)</w:t>
      </w:r>
      <w:r w:rsidR="004630C7" w:rsidRPr="0075693D">
        <w:rPr>
          <w:rFonts w:asciiTheme="minorHAnsi" w:hAnsiTheme="minorHAnsi"/>
          <w:sz w:val="24"/>
          <w:szCs w:val="24"/>
        </w:rPr>
        <w:t xml:space="preserve">. </w:t>
      </w:r>
      <w:r w:rsidR="00082B4D" w:rsidRPr="0075693D">
        <w:rPr>
          <w:rFonts w:asciiTheme="minorHAnsi" w:hAnsiTheme="minorHAnsi"/>
          <w:sz w:val="24"/>
          <w:szCs w:val="24"/>
        </w:rPr>
        <w:t xml:space="preserve">São muito frequentes as </w:t>
      </w:r>
      <w:r w:rsidR="004630C7" w:rsidRPr="0075693D">
        <w:rPr>
          <w:rFonts w:asciiTheme="minorHAnsi" w:hAnsiTheme="minorHAnsi"/>
          <w:sz w:val="24"/>
          <w:szCs w:val="24"/>
        </w:rPr>
        <w:t>histórias de avós que cuidam de seus netos, contando com a presença de um ou ambos os pais. Essa configuração tem recebido várias denominações, tais como: família multigeracional (Kemp, 2007) e família de três gerações (Goodman, 2007).</w:t>
      </w:r>
    </w:p>
    <w:p w:rsidR="00F947B5" w:rsidRPr="0075693D" w:rsidRDefault="00F947B5" w:rsidP="00F947B5">
      <w:pPr>
        <w:autoSpaceDE w:val="0"/>
        <w:autoSpaceDN w:val="0"/>
        <w:adjustRightInd w:val="0"/>
        <w:spacing w:after="0" w:line="480" w:lineRule="auto"/>
        <w:jc w:val="both"/>
        <w:rPr>
          <w:rFonts w:asciiTheme="minorHAnsi" w:hAnsiTheme="minorHAnsi"/>
          <w:sz w:val="24"/>
          <w:szCs w:val="24"/>
        </w:rPr>
      </w:pPr>
    </w:p>
    <w:p w:rsidR="00F947B5" w:rsidRPr="00AB6DE7" w:rsidRDefault="00F947B5" w:rsidP="00F947B5">
      <w:pPr>
        <w:pStyle w:val="Heading3"/>
        <w:rPr>
          <w:rFonts w:asciiTheme="minorHAnsi" w:hAnsiTheme="minorHAnsi"/>
        </w:rPr>
      </w:pPr>
      <w:bookmarkStart w:id="10" w:name="_Toc350731117"/>
      <w:r w:rsidRPr="00AB6DE7">
        <w:rPr>
          <w:rFonts w:asciiTheme="minorHAnsi" w:hAnsiTheme="minorHAnsi"/>
        </w:rPr>
        <w:t>Tend</w:t>
      </w:r>
      <w:r w:rsidR="00BE24B4" w:rsidRPr="00AB6DE7">
        <w:rPr>
          <w:rFonts w:asciiTheme="minorHAnsi" w:hAnsiTheme="minorHAnsi"/>
        </w:rPr>
        <w:t>Ê</w:t>
      </w:r>
      <w:r w:rsidRPr="00AB6DE7">
        <w:rPr>
          <w:rFonts w:asciiTheme="minorHAnsi" w:hAnsiTheme="minorHAnsi"/>
        </w:rPr>
        <w:t>ncias geracionais na europa</w:t>
      </w:r>
      <w:bookmarkEnd w:id="10"/>
    </w:p>
    <w:p w:rsidR="00BE24B4" w:rsidRPr="00AB6DE7" w:rsidRDefault="00BE24B4" w:rsidP="00F947B5">
      <w:pPr>
        <w:autoSpaceDE w:val="0"/>
        <w:autoSpaceDN w:val="0"/>
        <w:adjustRightInd w:val="0"/>
        <w:spacing w:after="0" w:line="480" w:lineRule="auto"/>
        <w:jc w:val="both"/>
        <w:rPr>
          <w:rFonts w:asciiTheme="minorHAnsi" w:hAnsiTheme="minorHAnsi"/>
          <w:sz w:val="24"/>
          <w:szCs w:val="24"/>
        </w:rPr>
      </w:pPr>
      <w:r w:rsidRPr="00AB6DE7">
        <w:rPr>
          <w:rFonts w:asciiTheme="minorHAnsi" w:hAnsiTheme="minorHAnsi"/>
          <w:sz w:val="24"/>
          <w:szCs w:val="24"/>
        </w:rPr>
        <w:lastRenderedPageBreak/>
        <w:t>Como referem Hank &amp; Buber, 2009:</w:t>
      </w:r>
    </w:p>
    <w:p w:rsidR="00F947B5" w:rsidRPr="0075693D" w:rsidRDefault="00BE24B4" w:rsidP="00F947B5">
      <w:pPr>
        <w:autoSpaceDE w:val="0"/>
        <w:autoSpaceDN w:val="0"/>
        <w:adjustRightInd w:val="0"/>
        <w:spacing w:after="0" w:line="480" w:lineRule="auto"/>
        <w:jc w:val="both"/>
        <w:rPr>
          <w:rFonts w:asciiTheme="minorHAnsi" w:hAnsiTheme="minorHAnsi"/>
          <w:sz w:val="24"/>
          <w:szCs w:val="24"/>
          <w:lang w:val="en-US"/>
        </w:rPr>
      </w:pPr>
      <w:r w:rsidRPr="0075693D">
        <w:rPr>
          <w:rFonts w:asciiTheme="minorHAnsi" w:hAnsiTheme="minorHAnsi"/>
          <w:sz w:val="24"/>
          <w:szCs w:val="24"/>
          <w:lang w:val="en-US"/>
        </w:rPr>
        <w:t>«</w:t>
      </w:r>
      <w:r w:rsidR="00F947B5" w:rsidRPr="0075693D">
        <w:rPr>
          <w:rFonts w:asciiTheme="minorHAnsi" w:hAnsiTheme="minorHAnsi"/>
          <w:sz w:val="24"/>
          <w:szCs w:val="24"/>
          <w:lang w:val="en-US"/>
        </w:rPr>
        <w:t>Today, unprecedented low numbers of children are born in all contemporary Western societies, but because of advances in longevity, generations still enjoy “longer years of shared lives” than ever before (e.g., Bengtson &amp; Lowenstein, 2003; Uhlenberg, 1996). This has been suggested to result in an increasing relevance of multigenerational bonds (cf. Bengtson, 2001), and recent studies have indeed shown that intergenerational relations continue to be strong across a wide variety of family systems (e.g., Attias-Donfut, Ogg, &amp; Wolff, 2005a; Hank, 2007; Yi &amp; Farrell, 2006) despite previous concerns about a possible “decline” of the family (e.g., Popenoe, 1993).</w:t>
      </w:r>
    </w:p>
    <w:p w:rsidR="00BE24B4" w:rsidRPr="0075693D" w:rsidRDefault="00F947B5" w:rsidP="00BE24B4">
      <w:pPr>
        <w:autoSpaceDE w:val="0"/>
        <w:autoSpaceDN w:val="0"/>
        <w:adjustRightInd w:val="0"/>
        <w:spacing w:after="0" w:line="480" w:lineRule="auto"/>
        <w:jc w:val="both"/>
        <w:rPr>
          <w:rFonts w:asciiTheme="minorHAnsi" w:hAnsiTheme="minorHAnsi"/>
          <w:sz w:val="24"/>
          <w:szCs w:val="24"/>
          <w:lang w:val="en-US"/>
        </w:rPr>
      </w:pPr>
      <w:r w:rsidRPr="0075693D">
        <w:rPr>
          <w:rFonts w:asciiTheme="minorHAnsi" w:hAnsiTheme="minorHAnsi"/>
          <w:sz w:val="24"/>
          <w:szCs w:val="24"/>
          <w:lang w:val="en-US"/>
        </w:rPr>
        <w:t>The grandparent role is central to the model of intergenerational solidarity (cf. Silverstein, Giarrusso, &amp; Bengtson, 1998), and child care provided by grandparents has been identified as a particularly important form</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of multigenerational family support, which has received considerable</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attention in many U.S. studies (e.g., Fuller-Thomson &amp; Minkler, 2001;</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Hayslip &amp; Kaminski, 2005; Pebley &amp; Rudkin, 1999; Vandell, McCartney,</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Owen, Booth, &amp; Clarke-Stewart, 2003). The availability of grandparents</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and its implications regarding, for example, fertility decisions or mothers’</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labor force participation has also been investigated in the European context (e.g., Gray, 2005; Hank &amp; Kreyenfeld, 2003), which is characterized</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by very diverse regimes of fertility, female employment, and child care</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(e.g., Brewster &amp; Rindfuss, 2000). A comprehensive cross-national</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account of European grandparents’ enga</w:t>
      </w:r>
      <w:r w:rsidR="00E67CF6" w:rsidRPr="0075693D">
        <w:rPr>
          <w:rFonts w:asciiTheme="minorHAnsi" w:hAnsiTheme="minorHAnsi"/>
          <w:sz w:val="24"/>
          <w:szCs w:val="24"/>
          <w:lang w:val="en-US"/>
        </w:rPr>
        <w:t xml:space="preserve">gement in child care, though, I </w:t>
      </w:r>
      <w:r w:rsidRPr="0075693D">
        <w:rPr>
          <w:rFonts w:asciiTheme="minorHAnsi" w:hAnsiTheme="minorHAnsi"/>
          <w:sz w:val="24"/>
          <w:szCs w:val="24"/>
          <w:lang w:val="en-US"/>
        </w:rPr>
        <w:t>missing (see, however, Attias-Donfut et al., 2005b; Dimova &amp; Wolff,</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2006).</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The data for this study are drawn from the first public release version of</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the 2004 Survey of Health, Ageing, and Retirement in Europe (SHARE; see</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 xml:space="preserve">Börsch-Supan et al., 2005). </w:t>
      </w:r>
      <w:r w:rsidRPr="0075693D">
        <w:rPr>
          <w:rFonts w:asciiTheme="minorHAnsi" w:hAnsiTheme="minorHAnsi"/>
          <w:sz w:val="24"/>
          <w:szCs w:val="24"/>
          <w:lang w:val="en-US"/>
        </w:rPr>
        <w:lastRenderedPageBreak/>
        <w:t>Release 1 of the data contains information on</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some 22,000 individuals ages 50 or older from 15,000 households in Austria,</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Denmark, France, Greece, Germany, Italy, the Netherlands, Sweden,</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Switzerland, and Spain. These 10 countries represent continental Europe’s</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economic, social, institutional, and cultural diversity from Scandinavia to the</w:t>
      </w:r>
      <w:r w:rsidR="00E67CF6" w:rsidRPr="0075693D">
        <w:rPr>
          <w:rFonts w:asciiTheme="minorHAnsi" w:hAnsiTheme="minorHAnsi"/>
          <w:sz w:val="24"/>
          <w:szCs w:val="24"/>
          <w:lang w:val="en-US"/>
        </w:rPr>
        <w:t xml:space="preserve"> </w:t>
      </w:r>
      <w:r w:rsidRPr="0075693D">
        <w:rPr>
          <w:rFonts w:asciiTheme="minorHAnsi" w:hAnsiTheme="minorHAnsi"/>
          <w:sz w:val="24"/>
          <w:szCs w:val="24"/>
          <w:lang w:val="en-US"/>
        </w:rPr>
        <w:t>Mediterranean</w:t>
      </w:r>
      <w:r w:rsidR="00E67CF6" w:rsidRPr="0075693D">
        <w:rPr>
          <w:rFonts w:asciiTheme="minorHAnsi" w:hAnsiTheme="minorHAnsi"/>
          <w:sz w:val="24"/>
          <w:szCs w:val="24"/>
          <w:lang w:val="en-US"/>
        </w:rPr>
        <w:t>.</w:t>
      </w:r>
      <w:r w:rsidR="00BE24B4" w:rsidRPr="0075693D">
        <w:rPr>
          <w:rFonts w:asciiTheme="minorHAnsi" w:hAnsiTheme="minorHAnsi"/>
          <w:sz w:val="24"/>
          <w:szCs w:val="24"/>
          <w:lang w:val="en-US"/>
        </w:rPr>
        <w:t xml:space="preserve"> </w:t>
      </w:r>
    </w:p>
    <w:p w:rsidR="00BE24B4" w:rsidRPr="0075693D" w:rsidRDefault="00BE24B4" w:rsidP="00BE24B4">
      <w:pPr>
        <w:autoSpaceDE w:val="0"/>
        <w:autoSpaceDN w:val="0"/>
        <w:adjustRightInd w:val="0"/>
        <w:spacing w:after="0" w:line="480" w:lineRule="auto"/>
        <w:jc w:val="both"/>
        <w:rPr>
          <w:rFonts w:asciiTheme="minorHAnsi" w:hAnsiTheme="minorHAnsi"/>
          <w:sz w:val="24"/>
          <w:szCs w:val="24"/>
          <w:lang w:val="en-US"/>
        </w:rPr>
      </w:pPr>
      <w:r w:rsidRPr="0075693D">
        <w:rPr>
          <w:rFonts w:asciiTheme="minorHAnsi" w:hAnsiTheme="minorHAnsi"/>
          <w:sz w:val="24"/>
          <w:szCs w:val="24"/>
          <w:lang w:val="en-US"/>
        </w:rPr>
        <w:t>For 10 continental European countries, the authors investigate cross-national variations in grandparent-provided child care as well as differences in characteristics of the providers and recipients of care. Although they find strong involvement of grandparents in their grandchildren’s care across all countries, they also identify significant variations in the prevalence and intensity of care along the geographic lines of different child care and (maternal or female) employment regimes in Europe. Rooted in long-standing family cultures, the observed patterns suggest a complex interaction between welfare state–provides services and intergenerational family support in shaping the work–family nexus for younger parents. The authors conclude with a brief discussion of possible consequences of grandmothers’ increasing labor force participation for child care arrangements.»</w:t>
      </w:r>
    </w:p>
    <w:p w:rsidR="001F07FA" w:rsidRPr="0075693D" w:rsidRDefault="001F07FA" w:rsidP="00BE24B4">
      <w:pPr>
        <w:autoSpaceDE w:val="0"/>
        <w:autoSpaceDN w:val="0"/>
        <w:adjustRightInd w:val="0"/>
        <w:spacing w:after="0" w:line="480" w:lineRule="auto"/>
        <w:jc w:val="both"/>
        <w:rPr>
          <w:rFonts w:asciiTheme="minorHAnsi" w:hAnsiTheme="minorHAnsi"/>
          <w:sz w:val="24"/>
          <w:szCs w:val="24"/>
          <w:lang w:val="en-US"/>
        </w:rPr>
      </w:pPr>
    </w:p>
    <w:p w:rsidR="001F07FA" w:rsidRPr="0075693D" w:rsidRDefault="001F07FA" w:rsidP="00BE24B4">
      <w:pPr>
        <w:autoSpaceDE w:val="0"/>
        <w:autoSpaceDN w:val="0"/>
        <w:adjustRightInd w:val="0"/>
        <w:spacing w:after="0" w:line="480" w:lineRule="auto"/>
        <w:jc w:val="both"/>
        <w:rPr>
          <w:rFonts w:asciiTheme="minorHAnsi" w:hAnsiTheme="minorHAnsi"/>
          <w:sz w:val="24"/>
          <w:szCs w:val="24"/>
          <w:lang w:val="en-US"/>
        </w:rPr>
      </w:pPr>
    </w:p>
    <w:p w:rsidR="00BF6295" w:rsidRPr="0075693D" w:rsidRDefault="00F947B5" w:rsidP="00F947B5">
      <w:pPr>
        <w:pStyle w:val="Heading3"/>
        <w:rPr>
          <w:rFonts w:asciiTheme="minorHAnsi" w:hAnsiTheme="minorHAnsi"/>
        </w:rPr>
      </w:pPr>
      <w:bookmarkStart w:id="11" w:name="_Toc350731118"/>
      <w:r w:rsidRPr="0075693D">
        <w:rPr>
          <w:rFonts w:asciiTheme="minorHAnsi" w:hAnsiTheme="minorHAnsi"/>
        </w:rPr>
        <w:t>O valor dos avós – evidências em Portugal</w:t>
      </w:r>
      <w:bookmarkEnd w:id="11"/>
    </w:p>
    <w:p w:rsidR="00F947B5" w:rsidRPr="0075693D" w:rsidRDefault="00116BEA" w:rsidP="00F947B5">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A presença dos avós pode ainda ter um valor d</w:t>
      </w:r>
      <w:r w:rsidR="00A938F5" w:rsidRPr="0075693D">
        <w:rPr>
          <w:rFonts w:asciiTheme="minorHAnsi" w:hAnsiTheme="minorHAnsi"/>
          <w:sz w:val="24"/>
          <w:szCs w:val="24"/>
        </w:rPr>
        <w:t>e suporte económico</w:t>
      </w:r>
      <w:r w:rsidRPr="0075693D">
        <w:rPr>
          <w:rFonts w:asciiTheme="minorHAnsi" w:hAnsiTheme="minorHAnsi"/>
          <w:sz w:val="24"/>
          <w:szCs w:val="24"/>
        </w:rPr>
        <w:t xml:space="preserve">, no Centro de Administração e Políticas Públicas, estuda-se esta questão, procurando contabilizar “o trabalho doméstico, a guarda dos netos e o trabalho desenvolvido” após a aposentação. Como referia Fausto </w:t>
      </w:r>
      <w:r w:rsidR="00F947B5" w:rsidRPr="0075693D">
        <w:rPr>
          <w:rFonts w:asciiTheme="minorHAnsi" w:hAnsiTheme="minorHAnsi"/>
          <w:sz w:val="24"/>
          <w:szCs w:val="24"/>
        </w:rPr>
        <w:t>Amaro</w:t>
      </w:r>
      <w:r w:rsidRPr="0075693D">
        <w:rPr>
          <w:rFonts w:asciiTheme="minorHAnsi" w:hAnsiTheme="minorHAnsi"/>
          <w:sz w:val="24"/>
          <w:szCs w:val="24"/>
        </w:rPr>
        <w:t xml:space="preserve"> em 2010</w:t>
      </w:r>
      <w:r w:rsidR="00F947B5" w:rsidRPr="0075693D">
        <w:rPr>
          <w:rFonts w:asciiTheme="minorHAnsi" w:hAnsiTheme="minorHAnsi"/>
          <w:sz w:val="24"/>
          <w:szCs w:val="24"/>
        </w:rPr>
        <w:t xml:space="preserve"> (ver: http://expresso.sapo.pt/avos-</w:t>
      </w:r>
      <w:r w:rsidR="00F947B5" w:rsidRPr="0075693D">
        <w:rPr>
          <w:rFonts w:asciiTheme="minorHAnsi" w:hAnsiTheme="minorHAnsi"/>
          <w:sz w:val="24"/>
          <w:szCs w:val="24"/>
        </w:rPr>
        <w:lastRenderedPageBreak/>
        <w:t>sao-suporte-essencial-na-ajuda-da-educacao-dos-netos=f742387)</w:t>
      </w:r>
      <w:r w:rsidRPr="0075693D">
        <w:rPr>
          <w:rFonts w:asciiTheme="minorHAnsi" w:hAnsiTheme="minorHAnsi"/>
          <w:sz w:val="24"/>
          <w:szCs w:val="24"/>
        </w:rPr>
        <w:t xml:space="preserve">, quando um avô toma conta de um neto, a família economiza um salário. Além do bem-estar e segurança que um idoso representa, há uma vantagem económica. Em 2010, cerca de 274 mil crianças frequentavam o pré-escolar. De fora, estavam quase 454 mil. (Em 2010, nos infantários das Instituições de Solidariedade Social, as mensalidades rondam os 300 euros, sendo gratuitas para as famílias carenciadas. No privado, os valores podem ultrapassar os 400 euros mensais.). </w:t>
      </w:r>
      <w:r w:rsidR="00BE24B4" w:rsidRPr="0075693D">
        <w:rPr>
          <w:rFonts w:asciiTheme="minorHAnsi" w:hAnsiTheme="minorHAnsi"/>
          <w:sz w:val="24"/>
          <w:szCs w:val="24"/>
        </w:rPr>
        <w:t>Também</w:t>
      </w:r>
      <w:r w:rsidRPr="0075693D">
        <w:rPr>
          <w:rFonts w:asciiTheme="minorHAnsi" w:hAnsiTheme="minorHAnsi"/>
          <w:sz w:val="24"/>
          <w:szCs w:val="24"/>
        </w:rPr>
        <w:t xml:space="preserve"> para as famílias que têm crianças na escola pública, o problema coloca-se todos os anos, quando as férias se aproximam: os trabalhadores têm 22 dias de descanso e as crianças do 1º ciclo têm 102 dias.</w:t>
      </w:r>
    </w:p>
    <w:p w:rsidR="004D7A28" w:rsidRPr="0075693D" w:rsidRDefault="004D7A28" w:rsidP="00F947B5">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 xml:space="preserve">Segundo dados do Eurostat relativos a 2010, uma em cada quatro mulheres com mais de 50 anos deixa de trabalhar, alegando responsabilidades pessoais e familiares. Uma em cada quatro crianças diz que os avós os vão buscar à escola, revela a investigação "Relações Intergeracionais: Um estudo na área de Lisboa", realizado </w:t>
      </w:r>
      <w:r w:rsidR="00A62596" w:rsidRPr="0075693D">
        <w:rPr>
          <w:rFonts w:asciiTheme="minorHAnsi" w:hAnsiTheme="minorHAnsi"/>
          <w:sz w:val="24"/>
          <w:szCs w:val="24"/>
        </w:rPr>
        <w:t>em 2011,</w:t>
      </w:r>
      <w:r w:rsidRPr="0075693D">
        <w:rPr>
          <w:rFonts w:asciiTheme="minorHAnsi" w:hAnsiTheme="minorHAnsi"/>
          <w:sz w:val="24"/>
          <w:szCs w:val="24"/>
        </w:rPr>
        <w:t xml:space="preserve"> num jardim de infância de Alenquer.</w:t>
      </w:r>
    </w:p>
    <w:p w:rsidR="00E96C98" w:rsidRPr="0075693D" w:rsidRDefault="00E96C98" w:rsidP="004D7A28">
      <w:pPr>
        <w:autoSpaceDE w:val="0"/>
        <w:autoSpaceDN w:val="0"/>
        <w:adjustRightInd w:val="0"/>
        <w:spacing w:after="0" w:line="480" w:lineRule="auto"/>
        <w:jc w:val="both"/>
        <w:rPr>
          <w:rFonts w:asciiTheme="minorHAnsi" w:hAnsiTheme="minorHAnsi" w:cs="Arial"/>
          <w:color w:val="222222"/>
          <w:sz w:val="18"/>
          <w:szCs w:val="18"/>
          <w:shd w:val="clear" w:color="auto" w:fill="DDDDDD"/>
        </w:rPr>
      </w:pPr>
    </w:p>
    <w:p w:rsidR="00FA3692" w:rsidRPr="0075693D" w:rsidRDefault="004D1F01" w:rsidP="004D1F01">
      <w:pPr>
        <w:pStyle w:val="Heading2"/>
        <w:rPr>
          <w:rFonts w:asciiTheme="minorHAnsi" w:hAnsiTheme="minorHAnsi"/>
        </w:rPr>
      </w:pPr>
      <w:bookmarkStart w:id="12" w:name="_Toc350731119"/>
      <w:r w:rsidRPr="0075693D">
        <w:rPr>
          <w:rFonts w:asciiTheme="minorHAnsi" w:hAnsiTheme="minorHAnsi"/>
        </w:rPr>
        <w:t xml:space="preserve">Avós – dasafio </w:t>
      </w:r>
      <w:r w:rsidRPr="0075693D">
        <w:rPr>
          <w:rFonts w:asciiTheme="minorHAnsi" w:hAnsiTheme="minorHAnsi"/>
          <w:i/>
        </w:rPr>
        <w:t>vs</w:t>
      </w:r>
      <w:r w:rsidRPr="0075693D">
        <w:rPr>
          <w:rFonts w:asciiTheme="minorHAnsi" w:hAnsiTheme="minorHAnsi"/>
        </w:rPr>
        <w:t xml:space="preserve"> oportunidade</w:t>
      </w:r>
      <w:bookmarkEnd w:id="12"/>
    </w:p>
    <w:p w:rsidR="006C4CB5" w:rsidRPr="0075693D" w:rsidRDefault="00082B4D" w:rsidP="006C4CB5">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Dias, Costa e Rangel (2005, p. 159) salientam que “a maior expectativa de vida do ser humano tornou possível a convivência entre avós e netos por um longo período, o que não ocorria há algumas décadas atrás. Existe, inclusive, a possibilidade da convivência com a quarta geração, a dos bisavós”</w:t>
      </w:r>
      <w:r w:rsidR="006C4CB5" w:rsidRPr="0075693D">
        <w:rPr>
          <w:rFonts w:asciiTheme="minorHAnsi" w:hAnsiTheme="minorHAnsi"/>
          <w:sz w:val="24"/>
          <w:szCs w:val="24"/>
        </w:rPr>
        <w:t>.</w:t>
      </w:r>
    </w:p>
    <w:p w:rsidR="006C4CB5" w:rsidRPr="0075693D" w:rsidRDefault="006C4CB5" w:rsidP="006C4CB5">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As últimas três décadas caracterizaram-se por transformações nos arranjos familiares, as quais influenciaram as relações entre avós, pais e netos nas situações de cuidado e Educação das crianças. Nesses lares multigeracionais, podem ser apontados benefícios e dificuldades.</w:t>
      </w:r>
    </w:p>
    <w:p w:rsidR="006C4CB5" w:rsidRPr="0075693D" w:rsidRDefault="00082B4D" w:rsidP="006C4CB5">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lastRenderedPageBreak/>
        <w:t xml:space="preserve">Essa maior proximidade </w:t>
      </w:r>
      <w:r w:rsidR="006C4CB5" w:rsidRPr="0075693D">
        <w:rPr>
          <w:rFonts w:asciiTheme="minorHAnsi" w:hAnsiTheme="minorHAnsi"/>
          <w:sz w:val="24"/>
          <w:szCs w:val="24"/>
        </w:rPr>
        <w:t xml:space="preserve">pode funcionar como um desafio ou como uma oportunidade, para os netos e para os seus pais. De um ponto de vista mais positivo temos a influência que os avós podem ter na compreensão dos </w:t>
      </w:r>
      <w:r w:rsidRPr="0075693D">
        <w:rPr>
          <w:rFonts w:asciiTheme="minorHAnsi" w:hAnsiTheme="minorHAnsi"/>
          <w:sz w:val="24"/>
          <w:szCs w:val="24"/>
        </w:rPr>
        <w:t>sentimentos</w:t>
      </w:r>
      <w:r w:rsidR="006C4CB5" w:rsidRPr="0075693D">
        <w:rPr>
          <w:rFonts w:asciiTheme="minorHAnsi" w:hAnsiTheme="minorHAnsi"/>
          <w:sz w:val="24"/>
          <w:szCs w:val="24"/>
        </w:rPr>
        <w:t xml:space="preserve"> dos netos em relação aos seus</w:t>
      </w:r>
      <w:r w:rsidRPr="0075693D">
        <w:rPr>
          <w:rFonts w:asciiTheme="minorHAnsi" w:hAnsiTheme="minorHAnsi"/>
          <w:sz w:val="24"/>
          <w:szCs w:val="24"/>
        </w:rPr>
        <w:t xml:space="preserve"> pais; </w:t>
      </w:r>
      <w:r w:rsidR="006C4CB5" w:rsidRPr="0075693D">
        <w:rPr>
          <w:rFonts w:asciiTheme="minorHAnsi" w:hAnsiTheme="minorHAnsi"/>
          <w:sz w:val="24"/>
          <w:szCs w:val="24"/>
        </w:rPr>
        <w:t>a sua colaboração</w:t>
      </w:r>
      <w:r w:rsidR="00A62596" w:rsidRPr="0075693D">
        <w:rPr>
          <w:rFonts w:asciiTheme="minorHAnsi" w:hAnsiTheme="minorHAnsi"/>
          <w:sz w:val="24"/>
          <w:szCs w:val="24"/>
        </w:rPr>
        <w:t xml:space="preserve"> </w:t>
      </w:r>
      <w:r w:rsidRPr="0075693D">
        <w:rPr>
          <w:rFonts w:asciiTheme="minorHAnsi" w:hAnsiTheme="minorHAnsi"/>
          <w:sz w:val="24"/>
          <w:szCs w:val="24"/>
        </w:rPr>
        <w:t>na diminuição da ansiedade</w:t>
      </w:r>
      <w:r w:rsidR="006C4CB5" w:rsidRPr="0075693D">
        <w:rPr>
          <w:rFonts w:asciiTheme="minorHAnsi" w:hAnsiTheme="minorHAnsi"/>
          <w:sz w:val="24"/>
          <w:szCs w:val="24"/>
        </w:rPr>
        <w:t xml:space="preserve"> </w:t>
      </w:r>
      <w:r w:rsidRPr="0075693D">
        <w:rPr>
          <w:rFonts w:asciiTheme="minorHAnsi" w:hAnsiTheme="minorHAnsi"/>
          <w:sz w:val="24"/>
          <w:szCs w:val="24"/>
        </w:rPr>
        <w:t>infantil; pela forma como ajudam os netos a en</w:t>
      </w:r>
      <w:r w:rsidR="006C4CB5" w:rsidRPr="0075693D">
        <w:rPr>
          <w:rFonts w:asciiTheme="minorHAnsi" w:hAnsiTheme="minorHAnsi"/>
          <w:sz w:val="24"/>
          <w:szCs w:val="24"/>
        </w:rPr>
        <w:t xml:space="preserve">tender melhor os pais, bem como </w:t>
      </w:r>
      <w:r w:rsidRPr="0075693D">
        <w:rPr>
          <w:rFonts w:asciiTheme="minorHAnsi" w:hAnsiTheme="minorHAnsi"/>
          <w:sz w:val="24"/>
          <w:szCs w:val="24"/>
        </w:rPr>
        <w:t>pela participação em vários aspectos da vida dos netos</w:t>
      </w:r>
      <w:r w:rsidR="006C4CB5" w:rsidRPr="0075693D">
        <w:rPr>
          <w:rFonts w:asciiTheme="minorHAnsi" w:hAnsiTheme="minorHAnsi"/>
          <w:sz w:val="24"/>
          <w:szCs w:val="24"/>
        </w:rPr>
        <w:t xml:space="preserve">, como o social, o cognitivo, o </w:t>
      </w:r>
      <w:r w:rsidRPr="0075693D">
        <w:rPr>
          <w:rFonts w:asciiTheme="minorHAnsi" w:hAnsiTheme="minorHAnsi"/>
          <w:sz w:val="24"/>
          <w:szCs w:val="24"/>
        </w:rPr>
        <w:t>emocional e o moral. Já a influência negativa está rela</w:t>
      </w:r>
      <w:r w:rsidR="006C4CB5" w:rsidRPr="0075693D">
        <w:rPr>
          <w:rFonts w:asciiTheme="minorHAnsi" w:hAnsiTheme="minorHAnsi"/>
          <w:sz w:val="24"/>
          <w:szCs w:val="24"/>
        </w:rPr>
        <w:t xml:space="preserve">cionada com o excesso de mimos, </w:t>
      </w:r>
      <w:r w:rsidRPr="0075693D">
        <w:rPr>
          <w:rFonts w:asciiTheme="minorHAnsi" w:hAnsiTheme="minorHAnsi"/>
          <w:sz w:val="24"/>
          <w:szCs w:val="24"/>
        </w:rPr>
        <w:t xml:space="preserve">que acabam por “estragar” os netos, e as interferências </w:t>
      </w:r>
      <w:r w:rsidR="006C4CB5" w:rsidRPr="0075693D">
        <w:rPr>
          <w:rFonts w:asciiTheme="minorHAnsi" w:hAnsiTheme="minorHAnsi"/>
          <w:sz w:val="24"/>
          <w:szCs w:val="24"/>
        </w:rPr>
        <w:t xml:space="preserve">e críticas à criação dada pelos pais (Dias, 2008). </w:t>
      </w:r>
    </w:p>
    <w:p w:rsidR="006C4CB5" w:rsidRPr="0075693D" w:rsidRDefault="006C4CB5" w:rsidP="00082B4D">
      <w:pPr>
        <w:autoSpaceDE w:val="0"/>
        <w:autoSpaceDN w:val="0"/>
        <w:adjustRightInd w:val="0"/>
        <w:spacing w:after="0" w:line="480" w:lineRule="auto"/>
        <w:jc w:val="both"/>
        <w:rPr>
          <w:rFonts w:asciiTheme="minorHAnsi" w:hAnsiTheme="minorHAnsi"/>
          <w:sz w:val="24"/>
          <w:szCs w:val="24"/>
        </w:rPr>
      </w:pPr>
    </w:p>
    <w:p w:rsidR="006C4CB5" w:rsidRPr="0075693D" w:rsidRDefault="006C4CB5" w:rsidP="006C4CB5">
      <w:pPr>
        <w:pStyle w:val="Heading3"/>
        <w:rPr>
          <w:rFonts w:asciiTheme="minorHAnsi" w:hAnsiTheme="minorHAnsi"/>
        </w:rPr>
      </w:pPr>
      <w:bookmarkStart w:id="13" w:name="_Toc350731120"/>
      <w:r w:rsidRPr="0075693D">
        <w:rPr>
          <w:rFonts w:asciiTheme="minorHAnsi" w:hAnsiTheme="minorHAnsi"/>
        </w:rPr>
        <w:t>O valor do vínculo avós netos</w:t>
      </w:r>
      <w:bookmarkEnd w:id="13"/>
    </w:p>
    <w:p w:rsidR="004D1F01" w:rsidRPr="0075693D" w:rsidRDefault="00082B4D" w:rsidP="00555A83">
      <w:pPr>
        <w:autoSpaceDE w:val="0"/>
        <w:autoSpaceDN w:val="0"/>
        <w:adjustRightInd w:val="0"/>
        <w:spacing w:after="0" w:line="480" w:lineRule="auto"/>
        <w:jc w:val="both"/>
        <w:rPr>
          <w:rFonts w:asciiTheme="minorHAnsi" w:hAnsiTheme="minorHAnsi"/>
          <w:sz w:val="24"/>
          <w:szCs w:val="24"/>
        </w:rPr>
      </w:pPr>
      <w:r w:rsidRPr="0075693D">
        <w:rPr>
          <w:rFonts w:asciiTheme="minorHAnsi" w:hAnsiTheme="minorHAnsi"/>
          <w:sz w:val="24"/>
          <w:szCs w:val="24"/>
        </w:rPr>
        <w:t>De maneira geral, para os avós, os netos são obje</w:t>
      </w:r>
      <w:r w:rsidR="00BE24B4" w:rsidRPr="0075693D">
        <w:rPr>
          <w:rFonts w:asciiTheme="minorHAnsi" w:hAnsiTheme="minorHAnsi"/>
          <w:sz w:val="24"/>
          <w:szCs w:val="24"/>
        </w:rPr>
        <w:t>c</w:t>
      </w:r>
      <w:r w:rsidRPr="0075693D">
        <w:rPr>
          <w:rFonts w:asciiTheme="minorHAnsi" w:hAnsiTheme="minorHAnsi"/>
          <w:sz w:val="24"/>
          <w:szCs w:val="24"/>
        </w:rPr>
        <w:t>to de um amor income</w:t>
      </w:r>
      <w:r w:rsidR="006C4CB5" w:rsidRPr="0075693D">
        <w:rPr>
          <w:rFonts w:asciiTheme="minorHAnsi" w:hAnsiTheme="minorHAnsi"/>
          <w:sz w:val="24"/>
          <w:szCs w:val="24"/>
        </w:rPr>
        <w:t xml:space="preserve">nsurável e </w:t>
      </w:r>
      <w:r w:rsidRPr="0075693D">
        <w:rPr>
          <w:rFonts w:asciiTheme="minorHAnsi" w:hAnsiTheme="minorHAnsi"/>
          <w:sz w:val="24"/>
          <w:szCs w:val="24"/>
        </w:rPr>
        <w:t>fonte de renovação de si mesmos e da família. O vínculo estabelecido com eles é algo</w:t>
      </w:r>
      <w:r w:rsidR="006C4CB5" w:rsidRPr="0075693D">
        <w:rPr>
          <w:rFonts w:asciiTheme="minorHAnsi" w:hAnsiTheme="minorHAnsi"/>
          <w:sz w:val="24"/>
          <w:szCs w:val="24"/>
        </w:rPr>
        <w:t xml:space="preserve"> </w:t>
      </w:r>
      <w:r w:rsidRPr="0075693D">
        <w:rPr>
          <w:rFonts w:asciiTheme="minorHAnsi" w:hAnsiTheme="minorHAnsi"/>
          <w:sz w:val="24"/>
          <w:szCs w:val="24"/>
        </w:rPr>
        <w:t>bastante particular, po</w:t>
      </w:r>
      <w:r w:rsidR="001F07FA" w:rsidRPr="0075693D">
        <w:rPr>
          <w:rFonts w:asciiTheme="minorHAnsi" w:hAnsiTheme="minorHAnsi"/>
          <w:sz w:val="24"/>
          <w:szCs w:val="24"/>
        </w:rPr>
        <w:t>is muitos avós tendem a idealiza-</w:t>
      </w:r>
      <w:r w:rsidRPr="0075693D">
        <w:rPr>
          <w:rFonts w:asciiTheme="minorHAnsi" w:hAnsiTheme="minorHAnsi"/>
          <w:sz w:val="24"/>
          <w:szCs w:val="24"/>
        </w:rPr>
        <w:t>los.</w:t>
      </w:r>
      <w:r w:rsidR="006C4CB5" w:rsidRPr="0075693D">
        <w:rPr>
          <w:rFonts w:asciiTheme="minorHAnsi" w:hAnsiTheme="minorHAnsi"/>
          <w:sz w:val="24"/>
          <w:szCs w:val="24"/>
        </w:rPr>
        <w:t xml:space="preserve"> A idealização e o investimento </w:t>
      </w:r>
      <w:r w:rsidRPr="0075693D">
        <w:rPr>
          <w:rFonts w:asciiTheme="minorHAnsi" w:hAnsiTheme="minorHAnsi"/>
          <w:sz w:val="24"/>
          <w:szCs w:val="24"/>
        </w:rPr>
        <w:t>nos netos servem como uma defesa contra as afliçõ</w:t>
      </w:r>
      <w:r w:rsidR="006C4CB5" w:rsidRPr="0075693D">
        <w:rPr>
          <w:rFonts w:asciiTheme="minorHAnsi" w:hAnsiTheme="minorHAnsi"/>
          <w:sz w:val="24"/>
          <w:szCs w:val="24"/>
        </w:rPr>
        <w:t xml:space="preserve">es da idade avançada e da morte </w:t>
      </w:r>
      <w:r w:rsidRPr="0075693D">
        <w:rPr>
          <w:rFonts w:asciiTheme="minorHAnsi" w:hAnsiTheme="minorHAnsi"/>
          <w:sz w:val="24"/>
          <w:szCs w:val="24"/>
        </w:rPr>
        <w:t xml:space="preserve">inevitável, assim como representam uma </w:t>
      </w:r>
      <w:r w:rsidR="001F07FA" w:rsidRPr="0075693D">
        <w:rPr>
          <w:rFonts w:asciiTheme="minorHAnsi" w:hAnsiTheme="minorHAnsi"/>
          <w:sz w:val="24"/>
          <w:szCs w:val="24"/>
        </w:rPr>
        <w:t>oportunidade</w:t>
      </w:r>
      <w:r w:rsidRPr="0075693D">
        <w:rPr>
          <w:rFonts w:asciiTheme="minorHAnsi" w:hAnsiTheme="minorHAnsi"/>
          <w:sz w:val="24"/>
          <w:szCs w:val="24"/>
        </w:rPr>
        <w:t xml:space="preserve"> mágica </w:t>
      </w:r>
      <w:r w:rsidR="006C4CB5" w:rsidRPr="0075693D">
        <w:rPr>
          <w:rFonts w:asciiTheme="minorHAnsi" w:hAnsiTheme="minorHAnsi"/>
          <w:sz w:val="24"/>
          <w:szCs w:val="24"/>
        </w:rPr>
        <w:t xml:space="preserve">de reparar sua própria vida por </w:t>
      </w:r>
      <w:r w:rsidRPr="0075693D">
        <w:rPr>
          <w:rFonts w:asciiTheme="minorHAnsi" w:hAnsiTheme="minorHAnsi"/>
          <w:sz w:val="24"/>
          <w:szCs w:val="24"/>
        </w:rPr>
        <w:t>meio da imortalidade genética (C</w:t>
      </w:r>
      <w:r w:rsidR="00A62596" w:rsidRPr="0075693D">
        <w:rPr>
          <w:rFonts w:asciiTheme="minorHAnsi" w:hAnsiTheme="minorHAnsi"/>
          <w:sz w:val="24"/>
          <w:szCs w:val="24"/>
        </w:rPr>
        <w:t>olarusso</w:t>
      </w:r>
      <w:r w:rsidRPr="0075693D">
        <w:rPr>
          <w:rFonts w:asciiTheme="minorHAnsi" w:hAnsiTheme="minorHAnsi"/>
          <w:sz w:val="24"/>
          <w:szCs w:val="24"/>
        </w:rPr>
        <w:t xml:space="preserve">, </w:t>
      </w:r>
      <w:r w:rsidR="006C4CB5" w:rsidRPr="0075693D">
        <w:rPr>
          <w:rFonts w:asciiTheme="minorHAnsi" w:hAnsiTheme="minorHAnsi"/>
          <w:sz w:val="24"/>
          <w:szCs w:val="24"/>
        </w:rPr>
        <w:t>1997 apud K</w:t>
      </w:r>
      <w:r w:rsidR="00A62596" w:rsidRPr="0075693D">
        <w:rPr>
          <w:rFonts w:asciiTheme="minorHAnsi" w:hAnsiTheme="minorHAnsi"/>
          <w:sz w:val="24"/>
          <w:szCs w:val="24"/>
        </w:rPr>
        <w:t xml:space="preserve">ipper &amp; </w:t>
      </w:r>
      <w:r w:rsidR="006C4CB5" w:rsidRPr="0075693D">
        <w:rPr>
          <w:rFonts w:asciiTheme="minorHAnsi" w:hAnsiTheme="minorHAnsi"/>
          <w:sz w:val="24"/>
          <w:szCs w:val="24"/>
        </w:rPr>
        <w:t>L</w:t>
      </w:r>
      <w:r w:rsidR="00A62596" w:rsidRPr="0075693D">
        <w:rPr>
          <w:rFonts w:asciiTheme="minorHAnsi" w:hAnsiTheme="minorHAnsi"/>
          <w:sz w:val="24"/>
          <w:szCs w:val="24"/>
        </w:rPr>
        <w:t>opes</w:t>
      </w:r>
      <w:r w:rsidR="006C4CB5" w:rsidRPr="0075693D">
        <w:rPr>
          <w:rFonts w:asciiTheme="minorHAnsi" w:hAnsiTheme="minorHAnsi"/>
          <w:sz w:val="24"/>
          <w:szCs w:val="24"/>
        </w:rPr>
        <w:t xml:space="preserve">, 2006). </w:t>
      </w:r>
      <w:r w:rsidRPr="0075693D">
        <w:rPr>
          <w:rFonts w:asciiTheme="minorHAnsi" w:hAnsiTheme="minorHAnsi"/>
          <w:sz w:val="24"/>
          <w:szCs w:val="24"/>
        </w:rPr>
        <w:t>Pessoa (2005) observa que o papel dos avós se caracter</w:t>
      </w:r>
      <w:r w:rsidR="006C4CB5" w:rsidRPr="0075693D">
        <w:rPr>
          <w:rFonts w:asciiTheme="minorHAnsi" w:hAnsiTheme="minorHAnsi"/>
          <w:sz w:val="24"/>
          <w:szCs w:val="24"/>
        </w:rPr>
        <w:t xml:space="preserve">iza pela gratuidade de atenção, </w:t>
      </w:r>
      <w:r w:rsidRPr="0075693D">
        <w:rPr>
          <w:rFonts w:asciiTheme="minorHAnsi" w:hAnsiTheme="minorHAnsi"/>
          <w:sz w:val="24"/>
          <w:szCs w:val="24"/>
        </w:rPr>
        <w:t xml:space="preserve">amor e carinho, embora a responsabilidade da criação </w:t>
      </w:r>
      <w:r w:rsidR="006C4CB5" w:rsidRPr="0075693D">
        <w:rPr>
          <w:rFonts w:asciiTheme="minorHAnsi" w:hAnsiTheme="minorHAnsi"/>
          <w:sz w:val="24"/>
          <w:szCs w:val="24"/>
        </w:rPr>
        <w:t xml:space="preserve">seja dos pais. Havendo respeito </w:t>
      </w:r>
      <w:r w:rsidRPr="0075693D">
        <w:rPr>
          <w:rFonts w:asciiTheme="minorHAnsi" w:hAnsiTheme="minorHAnsi"/>
          <w:sz w:val="24"/>
          <w:szCs w:val="24"/>
        </w:rPr>
        <w:t>mútuo entre avós e pais, não haverá prejuízos à autorida</w:t>
      </w:r>
      <w:r w:rsidR="006C4CB5" w:rsidRPr="0075693D">
        <w:rPr>
          <w:rFonts w:asciiTheme="minorHAnsi" w:hAnsiTheme="minorHAnsi"/>
          <w:sz w:val="24"/>
          <w:szCs w:val="24"/>
        </w:rPr>
        <w:t xml:space="preserve">de paterna e ao desenvolvimento </w:t>
      </w:r>
      <w:r w:rsidR="00E67CF6" w:rsidRPr="0075693D">
        <w:rPr>
          <w:rFonts w:asciiTheme="minorHAnsi" w:hAnsiTheme="minorHAnsi"/>
          <w:sz w:val="24"/>
          <w:szCs w:val="24"/>
        </w:rPr>
        <w:t>dos netos</w:t>
      </w:r>
      <w:r w:rsidRPr="0075693D">
        <w:rPr>
          <w:rFonts w:asciiTheme="minorHAnsi" w:hAnsiTheme="minorHAnsi"/>
          <w:sz w:val="24"/>
          <w:szCs w:val="24"/>
        </w:rPr>
        <w:t>.</w:t>
      </w:r>
      <w:r w:rsidR="00555A83" w:rsidRPr="0075693D">
        <w:rPr>
          <w:rFonts w:asciiTheme="minorHAnsi" w:hAnsiTheme="minorHAnsi"/>
          <w:sz w:val="24"/>
          <w:szCs w:val="24"/>
        </w:rPr>
        <w:t xml:space="preserve"> É preciso que os pais tenham consciência de que a responsabilidade acerca da educação e formação dos filhos recai sobre eles e não pode ser delegada a terceiros, nem mesmo aos seus próprios pais. Os avós que </w:t>
      </w:r>
      <w:r w:rsidR="00555A83" w:rsidRPr="0075693D">
        <w:rPr>
          <w:rFonts w:asciiTheme="minorHAnsi" w:hAnsiTheme="minorHAnsi"/>
          <w:sz w:val="24"/>
          <w:szCs w:val="24"/>
        </w:rPr>
        <w:lastRenderedPageBreak/>
        <w:t>estão convivendo com os netos devem apoiar a tarefa de educar, mas não permitir que essa obrigação lhes seja repassada (P</w:t>
      </w:r>
      <w:r w:rsidR="00A62596" w:rsidRPr="0075693D">
        <w:rPr>
          <w:rFonts w:asciiTheme="minorHAnsi" w:hAnsiTheme="minorHAnsi"/>
          <w:sz w:val="24"/>
          <w:szCs w:val="24"/>
        </w:rPr>
        <w:t>essoa</w:t>
      </w:r>
      <w:r w:rsidR="00555A83" w:rsidRPr="0075693D">
        <w:rPr>
          <w:rFonts w:asciiTheme="minorHAnsi" w:hAnsiTheme="minorHAnsi"/>
          <w:sz w:val="24"/>
          <w:szCs w:val="24"/>
        </w:rPr>
        <w:t>, 2005). Segundo Otero e Altarejos (2007), a principal condição para que exista uma boa convivência nas famílias co</w:t>
      </w:r>
      <w:r w:rsidR="00BE24B4" w:rsidRPr="0075693D">
        <w:rPr>
          <w:rFonts w:asciiTheme="minorHAnsi" w:hAnsiTheme="minorHAnsi"/>
          <w:sz w:val="24"/>
          <w:szCs w:val="24"/>
        </w:rPr>
        <w:t>-</w:t>
      </w:r>
      <w:r w:rsidR="00555A83" w:rsidRPr="0075693D">
        <w:rPr>
          <w:rFonts w:asciiTheme="minorHAnsi" w:hAnsiTheme="minorHAnsi"/>
          <w:sz w:val="24"/>
          <w:szCs w:val="24"/>
        </w:rPr>
        <w:t>residentes é o respeito. Por parte dos filhos casados, deve prevalecer o respeito pela casa e pelos costumes dos seus pais, e, por parte dos avós, o respeito à nova família e ao modo de criação que é ado</w:t>
      </w:r>
      <w:r w:rsidR="00BE24B4" w:rsidRPr="0075693D">
        <w:rPr>
          <w:rFonts w:asciiTheme="minorHAnsi" w:hAnsiTheme="minorHAnsi"/>
          <w:sz w:val="24"/>
          <w:szCs w:val="24"/>
        </w:rPr>
        <w:t>p</w:t>
      </w:r>
      <w:r w:rsidR="00555A83" w:rsidRPr="0075693D">
        <w:rPr>
          <w:rFonts w:asciiTheme="minorHAnsi" w:hAnsiTheme="minorHAnsi"/>
          <w:sz w:val="24"/>
          <w:szCs w:val="24"/>
        </w:rPr>
        <w:t>tado com os netos. Agindo assim, haverá mais acertos do que erros e as gerações terão mais possibilidade de conviver em harmonia.</w:t>
      </w:r>
    </w:p>
    <w:p w:rsidR="00691105" w:rsidRPr="00031905" w:rsidRDefault="00691105" w:rsidP="00555A83">
      <w:pPr>
        <w:autoSpaceDE w:val="0"/>
        <w:autoSpaceDN w:val="0"/>
        <w:adjustRightInd w:val="0"/>
        <w:spacing w:after="0" w:line="480" w:lineRule="auto"/>
        <w:jc w:val="both"/>
        <w:rPr>
          <w:rFonts w:ascii="Times New Roman" w:hAnsi="Times New Roman"/>
          <w:sz w:val="24"/>
          <w:szCs w:val="24"/>
        </w:rPr>
      </w:pPr>
    </w:p>
    <w:p w:rsidR="00CE0857" w:rsidRPr="005164B0" w:rsidRDefault="0075693D" w:rsidP="000A5995">
      <w:pPr>
        <w:pStyle w:val="Heading2"/>
        <w:rPr>
          <w:lang w:val="en-US"/>
        </w:rPr>
      </w:pPr>
      <w:bookmarkStart w:id="14" w:name="_Toc350731121"/>
      <w:r>
        <w:rPr>
          <w:lang w:val="en-US"/>
        </w:rPr>
        <w:t>Referências</w:t>
      </w:r>
      <w:bookmarkEnd w:id="14"/>
    </w:p>
    <w:p w:rsidR="0081133E" w:rsidRPr="005164B0" w:rsidRDefault="0081133E" w:rsidP="0081133E">
      <w:pPr>
        <w:spacing w:after="0" w:line="240" w:lineRule="auto"/>
        <w:jc w:val="both"/>
        <w:rPr>
          <w:rFonts w:asciiTheme="minorHAnsi" w:hAnsiTheme="minorHAnsi"/>
          <w:sz w:val="24"/>
          <w:szCs w:val="24"/>
          <w:lang w:val="en-US"/>
        </w:rPr>
      </w:pPr>
    </w:p>
    <w:p w:rsidR="00183442" w:rsidRPr="005164B0" w:rsidRDefault="00183442" w:rsidP="0081133E">
      <w:pPr>
        <w:spacing w:after="0" w:line="360" w:lineRule="auto"/>
        <w:ind w:left="567" w:hanging="567"/>
        <w:jc w:val="both"/>
        <w:rPr>
          <w:rFonts w:asciiTheme="minorHAnsi" w:hAnsiTheme="minorHAnsi"/>
          <w:sz w:val="24"/>
          <w:szCs w:val="24"/>
          <w:lang w:val="en-US"/>
        </w:rPr>
      </w:pPr>
      <w:r w:rsidRPr="005164B0">
        <w:rPr>
          <w:rFonts w:asciiTheme="minorHAnsi" w:hAnsiTheme="minorHAnsi"/>
          <w:sz w:val="24"/>
          <w:szCs w:val="24"/>
          <w:lang w:val="en-US"/>
        </w:rPr>
        <w:t xml:space="preserve">Cohen, W., &amp; Levinthal, D. (1989), Innovation and Learning: The Two Faces of R&amp;D, </w:t>
      </w:r>
      <w:r w:rsidRPr="005164B0">
        <w:rPr>
          <w:rFonts w:asciiTheme="minorHAnsi" w:hAnsiTheme="minorHAnsi"/>
          <w:i/>
          <w:sz w:val="24"/>
          <w:szCs w:val="24"/>
          <w:lang w:val="en-US"/>
        </w:rPr>
        <w:t>Economic Journal, 99,</w:t>
      </w:r>
      <w:r w:rsidRPr="005164B0">
        <w:rPr>
          <w:rFonts w:asciiTheme="minorHAnsi" w:hAnsiTheme="minorHAnsi"/>
          <w:sz w:val="24"/>
          <w:szCs w:val="24"/>
          <w:lang w:val="en-US"/>
        </w:rPr>
        <w:t xml:space="preserve"> 569–596.</w:t>
      </w:r>
    </w:p>
    <w:p w:rsidR="003A131A" w:rsidRPr="005164B0" w:rsidRDefault="00183442" w:rsidP="003A131A">
      <w:pPr>
        <w:spacing w:after="0" w:line="360" w:lineRule="auto"/>
        <w:ind w:left="567" w:hanging="567"/>
        <w:jc w:val="both"/>
        <w:rPr>
          <w:rFonts w:asciiTheme="minorHAnsi" w:hAnsiTheme="minorHAnsi"/>
          <w:i/>
          <w:iCs/>
          <w:sz w:val="24"/>
          <w:szCs w:val="24"/>
          <w:lang w:val="en-US"/>
        </w:rPr>
      </w:pPr>
      <w:r w:rsidRPr="005164B0">
        <w:rPr>
          <w:rFonts w:asciiTheme="minorHAnsi" w:hAnsiTheme="minorHAnsi"/>
          <w:sz w:val="24"/>
          <w:szCs w:val="24"/>
          <w:lang w:val="en-US"/>
        </w:rPr>
        <w:t xml:space="preserve">Cowan, R., David, P., &amp; Foray, D. (2000). The Explicit Economics of Knowledge Codification and Tacitness, </w:t>
      </w:r>
      <w:r w:rsidRPr="005164B0">
        <w:rPr>
          <w:rFonts w:asciiTheme="minorHAnsi" w:hAnsiTheme="minorHAnsi"/>
          <w:i/>
          <w:iCs/>
          <w:sz w:val="24"/>
          <w:szCs w:val="24"/>
          <w:lang w:val="en-US"/>
        </w:rPr>
        <w:t xml:space="preserve">Industrial and Corporate Change, </w:t>
      </w:r>
      <w:r w:rsidRPr="005164B0">
        <w:rPr>
          <w:rFonts w:asciiTheme="minorHAnsi" w:hAnsiTheme="minorHAnsi"/>
          <w:i/>
          <w:sz w:val="24"/>
          <w:szCs w:val="24"/>
          <w:lang w:val="en-US"/>
        </w:rPr>
        <w:t>9</w:t>
      </w:r>
      <w:r w:rsidRPr="005164B0">
        <w:rPr>
          <w:rFonts w:asciiTheme="minorHAnsi" w:hAnsiTheme="minorHAnsi"/>
          <w:sz w:val="24"/>
          <w:szCs w:val="24"/>
          <w:lang w:val="en-US"/>
        </w:rPr>
        <w:t>(2), 211–253.</w:t>
      </w:r>
    </w:p>
    <w:p w:rsidR="0005580D" w:rsidRPr="005164B0" w:rsidRDefault="003A131A" w:rsidP="0005580D">
      <w:pPr>
        <w:spacing w:after="0" w:line="360" w:lineRule="auto"/>
        <w:ind w:left="567" w:hanging="567"/>
        <w:jc w:val="both"/>
        <w:rPr>
          <w:rFonts w:asciiTheme="minorHAnsi" w:hAnsiTheme="minorHAnsi" w:cs="TimesNewRoman"/>
          <w:sz w:val="24"/>
          <w:szCs w:val="24"/>
          <w:lang w:val="en-US"/>
        </w:rPr>
      </w:pPr>
      <w:r w:rsidRPr="005164B0">
        <w:rPr>
          <w:rFonts w:asciiTheme="minorHAnsi" w:hAnsiTheme="minorHAnsi" w:cs="TimesNewRoman"/>
          <w:sz w:val="24"/>
          <w:szCs w:val="24"/>
          <w:lang w:val="en-US"/>
        </w:rPr>
        <w:t xml:space="preserve">CEC (2000). </w:t>
      </w:r>
      <w:r w:rsidRPr="005164B0">
        <w:rPr>
          <w:rFonts w:asciiTheme="minorHAnsi" w:hAnsiTheme="minorHAnsi" w:cs="TimesNewRoman,Italic"/>
          <w:i/>
          <w:iCs/>
          <w:sz w:val="24"/>
          <w:szCs w:val="24"/>
          <w:lang w:val="en-US"/>
        </w:rPr>
        <w:t>Employment in Europe 2000</w:t>
      </w:r>
      <w:r w:rsidRPr="005164B0">
        <w:rPr>
          <w:rFonts w:asciiTheme="minorHAnsi" w:hAnsiTheme="minorHAnsi" w:cs="TimesNewRoman"/>
          <w:sz w:val="24"/>
          <w:szCs w:val="24"/>
          <w:lang w:val="en-US"/>
        </w:rPr>
        <w:t>.  Luxembourg: Office for Official Publications of the</w:t>
      </w:r>
      <w:r w:rsidRPr="005164B0">
        <w:rPr>
          <w:rFonts w:asciiTheme="minorHAnsi" w:hAnsiTheme="minorHAnsi"/>
          <w:i/>
          <w:iCs/>
          <w:sz w:val="24"/>
          <w:szCs w:val="24"/>
          <w:lang w:val="en-US"/>
        </w:rPr>
        <w:t xml:space="preserve"> </w:t>
      </w:r>
      <w:r w:rsidRPr="005164B0">
        <w:rPr>
          <w:rFonts w:asciiTheme="minorHAnsi" w:hAnsiTheme="minorHAnsi" w:cs="TimesNewRoman"/>
          <w:sz w:val="24"/>
          <w:szCs w:val="24"/>
          <w:lang w:val="en-US"/>
        </w:rPr>
        <w:t>European Communities.</w:t>
      </w:r>
      <w:r w:rsidR="0005580D" w:rsidRPr="005164B0">
        <w:rPr>
          <w:rFonts w:asciiTheme="minorHAnsi" w:hAnsiTheme="minorHAnsi" w:cs="TimesNewRoman"/>
          <w:sz w:val="24"/>
          <w:szCs w:val="24"/>
          <w:lang w:val="en-US"/>
        </w:rPr>
        <w:t xml:space="preserve"> </w:t>
      </w:r>
    </w:p>
    <w:p w:rsidR="0005580D" w:rsidRPr="005164B0" w:rsidRDefault="005011AB" w:rsidP="0005580D">
      <w:pPr>
        <w:spacing w:after="0" w:line="360" w:lineRule="auto"/>
        <w:ind w:left="567" w:hanging="567"/>
        <w:jc w:val="both"/>
        <w:rPr>
          <w:rFonts w:asciiTheme="minorHAnsi" w:hAnsiTheme="minorHAnsi" w:cs="Times New Roman"/>
          <w:sz w:val="24"/>
          <w:szCs w:val="24"/>
        </w:rPr>
      </w:pPr>
      <w:r w:rsidRPr="005164B0">
        <w:rPr>
          <w:rFonts w:asciiTheme="minorHAnsi" w:hAnsiTheme="minorHAnsi" w:cs="Times New Roman"/>
          <w:sz w:val="24"/>
          <w:szCs w:val="24"/>
        </w:rPr>
        <w:t>Dias</w:t>
      </w:r>
      <w:r w:rsidR="0005580D" w:rsidRPr="005164B0">
        <w:rPr>
          <w:rFonts w:asciiTheme="minorHAnsi" w:hAnsiTheme="minorHAnsi" w:cs="Times New Roman"/>
          <w:sz w:val="24"/>
          <w:szCs w:val="24"/>
        </w:rPr>
        <w:t>, C.</w:t>
      </w:r>
      <w:r w:rsidRPr="005164B0">
        <w:rPr>
          <w:rFonts w:asciiTheme="minorHAnsi" w:hAnsiTheme="minorHAnsi" w:cs="Times New Roman"/>
          <w:sz w:val="24"/>
          <w:szCs w:val="24"/>
        </w:rPr>
        <w:t xml:space="preserve"> (2008)</w:t>
      </w:r>
      <w:r w:rsidR="0005580D" w:rsidRPr="005164B0">
        <w:rPr>
          <w:rFonts w:asciiTheme="minorHAnsi" w:hAnsiTheme="minorHAnsi" w:cs="Times New Roman"/>
          <w:sz w:val="24"/>
          <w:szCs w:val="24"/>
        </w:rPr>
        <w:t xml:space="preserve"> Pais são para criar e avós para estragar: será? </w:t>
      </w:r>
      <w:r w:rsidR="0005580D" w:rsidRPr="005164B0">
        <w:rPr>
          <w:rFonts w:asciiTheme="minorHAnsi" w:hAnsiTheme="minorHAnsi" w:cs="Times New Roman"/>
          <w:sz w:val="24"/>
          <w:szCs w:val="24"/>
          <w:lang w:val="en-US"/>
        </w:rPr>
        <w:t xml:space="preserve">In: </w:t>
      </w:r>
      <w:r w:rsidRPr="005164B0">
        <w:rPr>
          <w:rFonts w:asciiTheme="minorHAnsi" w:hAnsiTheme="minorHAnsi" w:cs="Times New Roman"/>
          <w:sz w:val="24"/>
          <w:szCs w:val="24"/>
          <w:lang w:val="en-US"/>
        </w:rPr>
        <w:t>Gomes</w:t>
      </w:r>
      <w:r w:rsidR="0005580D" w:rsidRPr="005164B0">
        <w:rPr>
          <w:rFonts w:asciiTheme="minorHAnsi" w:hAnsiTheme="minorHAnsi" w:cs="Times New Roman"/>
          <w:sz w:val="24"/>
          <w:szCs w:val="24"/>
          <w:lang w:val="en-US"/>
        </w:rPr>
        <w:t xml:space="preserve">, I. C. (Org.). </w:t>
      </w:r>
      <w:r w:rsidR="0005580D" w:rsidRPr="005164B0">
        <w:rPr>
          <w:rFonts w:asciiTheme="minorHAnsi" w:hAnsiTheme="minorHAnsi" w:cs="Times New Roman"/>
          <w:bCs/>
          <w:i/>
          <w:sz w:val="24"/>
          <w:szCs w:val="24"/>
        </w:rPr>
        <w:t>Família, diagnóstico e abordagens terapêuticas</w:t>
      </w:r>
      <w:r w:rsidRPr="005164B0">
        <w:rPr>
          <w:rFonts w:asciiTheme="minorHAnsi" w:hAnsiTheme="minorHAnsi" w:cs="Times New Roman"/>
          <w:i/>
          <w:sz w:val="24"/>
          <w:szCs w:val="24"/>
        </w:rPr>
        <w:t xml:space="preserve"> </w:t>
      </w:r>
      <w:r w:rsidRPr="005164B0">
        <w:rPr>
          <w:rFonts w:asciiTheme="minorHAnsi" w:hAnsiTheme="minorHAnsi" w:cs="Times New Roman"/>
          <w:sz w:val="24"/>
          <w:szCs w:val="24"/>
        </w:rPr>
        <w:t>(p. 67</w:t>
      </w:r>
      <w:r w:rsidRPr="005164B0">
        <w:rPr>
          <w:rFonts w:ascii="MS Gothic" w:eastAsia="MS Gothic" w:hAnsi="MS Gothic" w:cs="MS Gothic" w:hint="eastAsia"/>
          <w:sz w:val="24"/>
          <w:szCs w:val="24"/>
        </w:rPr>
        <w:t>‑</w:t>
      </w:r>
      <w:r w:rsidRPr="005164B0">
        <w:rPr>
          <w:rFonts w:asciiTheme="minorHAnsi" w:hAnsiTheme="minorHAnsi" w:cs="Times New Roman"/>
          <w:sz w:val="24"/>
          <w:szCs w:val="24"/>
        </w:rPr>
        <w:t>72)</w:t>
      </w:r>
      <w:r w:rsidR="0005580D" w:rsidRPr="005164B0">
        <w:rPr>
          <w:rFonts w:asciiTheme="minorHAnsi" w:hAnsiTheme="minorHAnsi" w:cs="Times New Roman"/>
          <w:i/>
          <w:iCs/>
          <w:sz w:val="24"/>
          <w:szCs w:val="24"/>
        </w:rPr>
        <w:t xml:space="preserve">. </w:t>
      </w:r>
      <w:r w:rsidR="0005580D" w:rsidRPr="005164B0">
        <w:rPr>
          <w:rFonts w:asciiTheme="minorHAnsi" w:hAnsiTheme="minorHAnsi" w:cs="Times New Roman"/>
          <w:sz w:val="24"/>
          <w:szCs w:val="24"/>
        </w:rPr>
        <w:t>R</w:t>
      </w:r>
      <w:r w:rsidRPr="005164B0">
        <w:rPr>
          <w:rFonts w:asciiTheme="minorHAnsi" w:hAnsiTheme="minorHAnsi" w:cs="Times New Roman"/>
          <w:sz w:val="24"/>
          <w:szCs w:val="24"/>
        </w:rPr>
        <w:t>io de Janeiro: Guanabara Koogan.</w:t>
      </w:r>
    </w:p>
    <w:p w:rsidR="0005580D" w:rsidRPr="005164B0" w:rsidRDefault="005011AB" w:rsidP="0005580D">
      <w:pPr>
        <w:spacing w:after="0" w:line="360" w:lineRule="auto"/>
        <w:ind w:left="567" w:hanging="567"/>
        <w:jc w:val="both"/>
        <w:rPr>
          <w:rFonts w:asciiTheme="minorHAnsi" w:hAnsiTheme="minorHAnsi" w:cs="Times New Roman"/>
          <w:sz w:val="24"/>
          <w:szCs w:val="24"/>
        </w:rPr>
      </w:pPr>
      <w:r w:rsidRPr="005164B0">
        <w:rPr>
          <w:rFonts w:asciiTheme="minorHAnsi" w:hAnsiTheme="minorHAnsi" w:cs="Times New Roman"/>
          <w:sz w:val="24"/>
          <w:szCs w:val="24"/>
        </w:rPr>
        <w:t>Dias, C.; Costa, J.</w:t>
      </w:r>
      <w:r w:rsidR="00FF7C62" w:rsidRPr="005164B0">
        <w:rPr>
          <w:rFonts w:asciiTheme="minorHAnsi" w:hAnsiTheme="minorHAnsi" w:cs="Times New Roman"/>
          <w:sz w:val="24"/>
          <w:szCs w:val="24"/>
        </w:rPr>
        <w:t xml:space="preserve"> &amp;</w:t>
      </w:r>
      <w:r w:rsidRPr="005164B0">
        <w:rPr>
          <w:rFonts w:asciiTheme="minorHAnsi" w:hAnsiTheme="minorHAnsi" w:cs="Times New Roman"/>
          <w:sz w:val="24"/>
          <w:szCs w:val="24"/>
        </w:rPr>
        <w:t xml:space="preserve"> Rangel, V. (2005) </w:t>
      </w:r>
      <w:r w:rsidR="0005580D" w:rsidRPr="005164B0">
        <w:rPr>
          <w:rFonts w:asciiTheme="minorHAnsi" w:hAnsiTheme="minorHAnsi" w:cs="Times New Roman"/>
          <w:sz w:val="24"/>
          <w:szCs w:val="24"/>
        </w:rPr>
        <w:t>Avós que criam seus netos: circunstâncias e conseq</w:t>
      </w:r>
      <w:r w:rsidR="00FF7C62" w:rsidRPr="005164B0">
        <w:rPr>
          <w:rFonts w:asciiTheme="minorHAnsi" w:hAnsiTheme="minorHAnsi" w:cs="Times New Roman"/>
          <w:sz w:val="24"/>
          <w:szCs w:val="24"/>
        </w:rPr>
        <w:t>u</w:t>
      </w:r>
      <w:r w:rsidR="0005580D" w:rsidRPr="005164B0">
        <w:rPr>
          <w:rFonts w:asciiTheme="minorHAnsi" w:hAnsiTheme="minorHAnsi" w:cs="Times New Roman"/>
          <w:sz w:val="24"/>
          <w:szCs w:val="24"/>
        </w:rPr>
        <w:t xml:space="preserve">ências. In: </w:t>
      </w:r>
      <w:r w:rsidRPr="005164B0">
        <w:rPr>
          <w:rFonts w:asciiTheme="minorHAnsi" w:hAnsiTheme="minorHAnsi" w:cs="Times New Roman"/>
          <w:sz w:val="24"/>
          <w:szCs w:val="24"/>
        </w:rPr>
        <w:t>T. Feres</w:t>
      </w:r>
      <w:r w:rsidRPr="005164B0">
        <w:rPr>
          <w:rFonts w:ascii="MS Gothic" w:eastAsia="MS Gothic" w:hAnsi="MS Gothic" w:cs="MS Gothic" w:hint="eastAsia"/>
          <w:sz w:val="24"/>
          <w:szCs w:val="24"/>
        </w:rPr>
        <w:t>‑</w:t>
      </w:r>
      <w:r w:rsidRPr="005164B0">
        <w:rPr>
          <w:rFonts w:asciiTheme="minorHAnsi" w:hAnsiTheme="minorHAnsi" w:cs="Times New Roman"/>
          <w:sz w:val="24"/>
          <w:szCs w:val="24"/>
        </w:rPr>
        <w:t xml:space="preserve">Carneiro </w:t>
      </w:r>
      <w:r w:rsidR="0005580D" w:rsidRPr="005164B0">
        <w:rPr>
          <w:rFonts w:asciiTheme="minorHAnsi" w:hAnsiTheme="minorHAnsi" w:cs="Times New Roman"/>
          <w:sz w:val="24"/>
          <w:szCs w:val="24"/>
        </w:rPr>
        <w:t xml:space="preserve">(Org.). </w:t>
      </w:r>
      <w:r w:rsidR="0005580D" w:rsidRPr="005164B0">
        <w:rPr>
          <w:rFonts w:asciiTheme="minorHAnsi" w:hAnsiTheme="minorHAnsi" w:cs="Times New Roman"/>
          <w:bCs/>
          <w:i/>
          <w:sz w:val="24"/>
          <w:szCs w:val="24"/>
        </w:rPr>
        <w:t>Família e casal</w:t>
      </w:r>
      <w:r w:rsidR="0005580D" w:rsidRPr="005164B0">
        <w:rPr>
          <w:rFonts w:asciiTheme="minorHAnsi" w:hAnsiTheme="minorHAnsi" w:cs="Times New Roman"/>
          <w:i/>
          <w:sz w:val="24"/>
          <w:szCs w:val="24"/>
        </w:rPr>
        <w:t>: efeitos da contemporaneidade</w:t>
      </w:r>
      <w:r w:rsidRPr="005164B0">
        <w:rPr>
          <w:rFonts w:asciiTheme="minorHAnsi" w:hAnsiTheme="minorHAnsi" w:cs="Times New Roman"/>
          <w:sz w:val="24"/>
          <w:szCs w:val="24"/>
        </w:rPr>
        <w:t xml:space="preserve"> (p. 158</w:t>
      </w:r>
      <w:r w:rsidRPr="005164B0">
        <w:rPr>
          <w:rFonts w:ascii="MS Gothic" w:eastAsia="MS Gothic" w:hAnsi="MS Gothic" w:cs="MS Gothic" w:hint="eastAsia"/>
          <w:sz w:val="24"/>
          <w:szCs w:val="24"/>
        </w:rPr>
        <w:t>‑</w:t>
      </w:r>
      <w:r w:rsidRPr="005164B0">
        <w:rPr>
          <w:rFonts w:asciiTheme="minorHAnsi" w:hAnsiTheme="minorHAnsi" w:cs="Times New Roman"/>
          <w:sz w:val="24"/>
          <w:szCs w:val="24"/>
        </w:rPr>
        <w:t>176)</w:t>
      </w:r>
      <w:r w:rsidR="0005580D" w:rsidRPr="005164B0">
        <w:rPr>
          <w:rFonts w:asciiTheme="minorHAnsi" w:hAnsiTheme="minorHAnsi" w:cs="Times New Roman"/>
          <w:i/>
          <w:sz w:val="24"/>
          <w:szCs w:val="24"/>
        </w:rPr>
        <w:t>.</w:t>
      </w:r>
      <w:r w:rsidR="0005580D" w:rsidRPr="005164B0">
        <w:rPr>
          <w:rFonts w:asciiTheme="minorHAnsi" w:hAnsiTheme="minorHAnsi" w:cs="Times New Roman"/>
          <w:sz w:val="24"/>
          <w:szCs w:val="24"/>
        </w:rPr>
        <w:t xml:space="preserve"> Rio de Janeiro: PUC</w:t>
      </w:r>
      <w:r w:rsidR="0005580D" w:rsidRPr="005164B0">
        <w:rPr>
          <w:rFonts w:ascii="MS Gothic" w:eastAsia="MS Gothic" w:hAnsi="MS Gothic" w:cs="MS Gothic" w:hint="eastAsia"/>
          <w:sz w:val="24"/>
          <w:szCs w:val="24"/>
        </w:rPr>
        <w:t>‑</w:t>
      </w:r>
      <w:r w:rsidRPr="005164B0">
        <w:rPr>
          <w:rFonts w:asciiTheme="minorHAnsi" w:hAnsiTheme="minorHAnsi" w:cs="Times New Roman"/>
          <w:sz w:val="24"/>
          <w:szCs w:val="24"/>
        </w:rPr>
        <w:t>Rio</w:t>
      </w:r>
      <w:r w:rsidR="0005580D" w:rsidRPr="005164B0">
        <w:rPr>
          <w:rFonts w:asciiTheme="minorHAnsi" w:hAnsiTheme="minorHAnsi" w:cs="Times New Roman"/>
          <w:sz w:val="24"/>
          <w:szCs w:val="24"/>
        </w:rPr>
        <w:t xml:space="preserve">. </w:t>
      </w:r>
    </w:p>
    <w:p w:rsidR="00BC0FC3" w:rsidRPr="00AB6DE7" w:rsidRDefault="00BC0FC3" w:rsidP="00BC0FC3">
      <w:pPr>
        <w:spacing w:after="0" w:line="360" w:lineRule="auto"/>
        <w:ind w:left="567" w:hanging="567"/>
        <w:jc w:val="both"/>
        <w:rPr>
          <w:rFonts w:asciiTheme="minorHAnsi" w:hAnsiTheme="minorHAnsi" w:cs="TimesNewRoman"/>
          <w:sz w:val="24"/>
          <w:szCs w:val="24"/>
          <w:lang w:val="en-US"/>
        </w:rPr>
      </w:pPr>
      <w:r w:rsidRPr="005164B0">
        <w:rPr>
          <w:rFonts w:asciiTheme="minorHAnsi" w:hAnsiTheme="minorHAnsi"/>
          <w:sz w:val="24"/>
          <w:szCs w:val="24"/>
        </w:rPr>
        <w:t xml:space="preserve">Dias, C., Hora, F. &amp; Aguiar, A. (2010). </w:t>
      </w:r>
      <w:r w:rsidRPr="005164B0">
        <w:rPr>
          <w:rFonts w:asciiTheme="minorHAnsi" w:hAnsiTheme="minorHAnsi" w:cs="TimesNewRoman"/>
          <w:sz w:val="24"/>
          <w:szCs w:val="24"/>
        </w:rPr>
        <w:t>Jovens criados por avós e por um ou ambos os pais.</w:t>
      </w:r>
      <w:r w:rsidRPr="005164B0">
        <w:rPr>
          <w:rFonts w:asciiTheme="minorHAnsi" w:eastAsia="Humanist521BT-Bold" w:hAnsiTheme="minorHAnsi" w:cs="Humanist521BT-Bold"/>
          <w:b/>
          <w:bCs/>
          <w:sz w:val="24"/>
          <w:szCs w:val="24"/>
        </w:rPr>
        <w:t xml:space="preserve"> </w:t>
      </w:r>
      <w:r w:rsidRPr="00AB6DE7">
        <w:rPr>
          <w:rFonts w:asciiTheme="minorHAnsi" w:hAnsiTheme="minorHAnsi" w:cs="TimesNewRoman"/>
          <w:i/>
          <w:sz w:val="24"/>
          <w:szCs w:val="24"/>
          <w:lang w:val="en-US"/>
        </w:rPr>
        <w:t>Psicologia: Teoria e Prática, 12</w:t>
      </w:r>
      <w:r w:rsidRPr="00AB6DE7">
        <w:rPr>
          <w:rFonts w:asciiTheme="minorHAnsi" w:hAnsiTheme="minorHAnsi" w:cs="TimesNewRoman"/>
          <w:sz w:val="24"/>
          <w:szCs w:val="24"/>
          <w:lang w:val="en-US"/>
        </w:rPr>
        <w:t>(2), 188-199</w:t>
      </w:r>
    </w:p>
    <w:p w:rsidR="003A131A" w:rsidRPr="005164B0" w:rsidRDefault="003A131A" w:rsidP="00CE6AE8">
      <w:pPr>
        <w:spacing w:after="0" w:line="360" w:lineRule="auto"/>
        <w:ind w:left="567" w:hanging="567"/>
        <w:jc w:val="both"/>
        <w:rPr>
          <w:rFonts w:asciiTheme="minorHAnsi" w:hAnsiTheme="minorHAnsi"/>
          <w:i/>
          <w:iCs/>
          <w:sz w:val="24"/>
          <w:szCs w:val="24"/>
          <w:lang w:val="en-US"/>
        </w:rPr>
      </w:pPr>
      <w:r w:rsidRPr="005164B0">
        <w:rPr>
          <w:rFonts w:asciiTheme="minorHAnsi" w:hAnsiTheme="minorHAnsi" w:cs="TimesNewRoman"/>
          <w:sz w:val="24"/>
          <w:szCs w:val="24"/>
          <w:lang w:val="en-US"/>
        </w:rPr>
        <w:t xml:space="preserve">European Foundation for the Improvement of Living and Working Conditions (1992) </w:t>
      </w:r>
      <w:r w:rsidRPr="005164B0">
        <w:rPr>
          <w:rFonts w:asciiTheme="minorHAnsi" w:hAnsiTheme="minorHAnsi" w:cs="TimesNewRoman,Italic"/>
          <w:i/>
          <w:iCs/>
          <w:sz w:val="24"/>
          <w:szCs w:val="24"/>
          <w:lang w:val="en-US"/>
        </w:rPr>
        <w:t>First</w:t>
      </w:r>
      <w:r w:rsidRPr="005164B0">
        <w:rPr>
          <w:rFonts w:asciiTheme="minorHAnsi" w:hAnsiTheme="minorHAnsi"/>
          <w:i/>
          <w:iCs/>
          <w:sz w:val="24"/>
          <w:szCs w:val="24"/>
          <w:lang w:val="en-US"/>
        </w:rPr>
        <w:t xml:space="preserve"> </w:t>
      </w:r>
      <w:r w:rsidRPr="005164B0">
        <w:rPr>
          <w:rFonts w:asciiTheme="minorHAnsi" w:hAnsiTheme="minorHAnsi" w:cs="TimesNewRoman,Italic"/>
          <w:i/>
          <w:iCs/>
          <w:sz w:val="24"/>
          <w:szCs w:val="24"/>
          <w:lang w:val="en-US"/>
        </w:rPr>
        <w:t xml:space="preserve">European Survey on the Work Environment 1991-1992. </w:t>
      </w:r>
      <w:r w:rsidRPr="005164B0">
        <w:rPr>
          <w:rFonts w:asciiTheme="minorHAnsi" w:hAnsiTheme="minorHAnsi" w:cs="TimesNewRoman"/>
          <w:sz w:val="24"/>
          <w:szCs w:val="24"/>
          <w:lang w:val="en-US"/>
        </w:rPr>
        <w:t>Dublin: European Foundation for</w:t>
      </w:r>
      <w:r w:rsidRPr="005164B0">
        <w:rPr>
          <w:rFonts w:asciiTheme="minorHAnsi" w:hAnsiTheme="minorHAnsi"/>
          <w:i/>
          <w:iCs/>
          <w:sz w:val="24"/>
          <w:szCs w:val="24"/>
          <w:lang w:val="en-US"/>
        </w:rPr>
        <w:t xml:space="preserve"> </w:t>
      </w:r>
      <w:r w:rsidRPr="005164B0">
        <w:rPr>
          <w:rFonts w:asciiTheme="minorHAnsi" w:hAnsiTheme="minorHAnsi" w:cs="TimesNewRoman"/>
          <w:sz w:val="24"/>
          <w:szCs w:val="24"/>
          <w:lang w:val="en-US"/>
        </w:rPr>
        <w:t>the Improvement of Living and Working Conditions.</w:t>
      </w:r>
    </w:p>
    <w:p w:rsidR="003A131A" w:rsidRPr="005164B0" w:rsidRDefault="003A131A" w:rsidP="003A131A">
      <w:pPr>
        <w:spacing w:after="0" w:line="360" w:lineRule="auto"/>
        <w:ind w:left="567" w:hanging="567"/>
        <w:jc w:val="both"/>
        <w:rPr>
          <w:rFonts w:asciiTheme="minorHAnsi" w:hAnsiTheme="minorHAnsi"/>
          <w:i/>
          <w:iCs/>
          <w:sz w:val="24"/>
          <w:szCs w:val="24"/>
          <w:lang w:val="en-US"/>
        </w:rPr>
      </w:pPr>
      <w:r w:rsidRPr="005164B0">
        <w:rPr>
          <w:rFonts w:asciiTheme="minorHAnsi" w:hAnsiTheme="minorHAnsi" w:cs="TimesNewRoman"/>
          <w:sz w:val="24"/>
          <w:szCs w:val="24"/>
          <w:lang w:val="en-US"/>
        </w:rPr>
        <w:lastRenderedPageBreak/>
        <w:t xml:space="preserve">European Foundation for the Improvement of Living and Working Conditions (1997) </w:t>
      </w:r>
      <w:r w:rsidRPr="005164B0">
        <w:rPr>
          <w:rFonts w:asciiTheme="minorHAnsi" w:hAnsiTheme="minorHAnsi" w:cs="TimesNewRoman,Italic"/>
          <w:i/>
          <w:iCs/>
          <w:sz w:val="24"/>
          <w:szCs w:val="24"/>
          <w:lang w:val="en-US"/>
        </w:rPr>
        <w:t>Second</w:t>
      </w:r>
      <w:r w:rsidRPr="005164B0">
        <w:rPr>
          <w:rFonts w:asciiTheme="minorHAnsi" w:hAnsiTheme="minorHAnsi"/>
          <w:i/>
          <w:iCs/>
          <w:sz w:val="24"/>
          <w:szCs w:val="24"/>
          <w:lang w:val="en-US"/>
        </w:rPr>
        <w:t xml:space="preserve"> </w:t>
      </w:r>
      <w:r w:rsidRPr="005164B0">
        <w:rPr>
          <w:rFonts w:asciiTheme="minorHAnsi" w:hAnsiTheme="minorHAnsi" w:cs="TimesNewRoman,Italic"/>
          <w:i/>
          <w:iCs/>
          <w:sz w:val="24"/>
          <w:szCs w:val="24"/>
          <w:lang w:val="en-US"/>
        </w:rPr>
        <w:t>European Survey on Working Conditions 1996</w:t>
      </w:r>
      <w:r w:rsidRPr="005164B0">
        <w:rPr>
          <w:rFonts w:asciiTheme="minorHAnsi" w:hAnsiTheme="minorHAnsi" w:cs="TimesNewRoman"/>
          <w:sz w:val="24"/>
          <w:szCs w:val="24"/>
          <w:lang w:val="en-US"/>
        </w:rPr>
        <w:t>. Dublin: European Foundation for the</w:t>
      </w:r>
      <w:r w:rsidRPr="005164B0">
        <w:rPr>
          <w:rFonts w:asciiTheme="minorHAnsi" w:hAnsiTheme="minorHAnsi"/>
          <w:i/>
          <w:iCs/>
          <w:sz w:val="24"/>
          <w:szCs w:val="24"/>
          <w:lang w:val="en-US"/>
        </w:rPr>
        <w:t xml:space="preserve"> </w:t>
      </w:r>
      <w:r w:rsidRPr="005164B0">
        <w:rPr>
          <w:rFonts w:asciiTheme="minorHAnsi" w:hAnsiTheme="minorHAnsi" w:cs="TimesNewRoman"/>
          <w:sz w:val="24"/>
          <w:szCs w:val="24"/>
          <w:lang w:val="en-US"/>
        </w:rPr>
        <w:t>Improvement of Living and Working Conditions.</w:t>
      </w:r>
    </w:p>
    <w:p w:rsidR="005A74D0" w:rsidRPr="005164B0" w:rsidRDefault="003A131A" w:rsidP="005A74D0">
      <w:pPr>
        <w:spacing w:after="0" w:line="360" w:lineRule="auto"/>
        <w:ind w:left="567" w:hanging="567"/>
        <w:jc w:val="both"/>
        <w:rPr>
          <w:rFonts w:asciiTheme="minorHAnsi" w:hAnsiTheme="minorHAnsi" w:cs="Times New Roman"/>
          <w:sz w:val="24"/>
          <w:szCs w:val="24"/>
          <w:lang w:val="en-US"/>
        </w:rPr>
      </w:pPr>
      <w:r w:rsidRPr="005164B0">
        <w:rPr>
          <w:rFonts w:asciiTheme="minorHAnsi" w:hAnsiTheme="minorHAnsi" w:cs="TimesNewRoman"/>
          <w:sz w:val="24"/>
          <w:szCs w:val="24"/>
          <w:lang w:val="en-US"/>
        </w:rPr>
        <w:t xml:space="preserve">European Foundation for the Improvement of Living and Working Conditions (2001) </w:t>
      </w:r>
      <w:r w:rsidRPr="005164B0">
        <w:rPr>
          <w:rFonts w:asciiTheme="minorHAnsi" w:hAnsiTheme="minorHAnsi" w:cs="TimesNewRoman,Italic"/>
          <w:i/>
          <w:iCs/>
          <w:sz w:val="24"/>
          <w:szCs w:val="24"/>
          <w:lang w:val="en-US"/>
        </w:rPr>
        <w:t>Third</w:t>
      </w:r>
      <w:r w:rsidRPr="005164B0">
        <w:rPr>
          <w:rFonts w:asciiTheme="minorHAnsi" w:hAnsiTheme="minorHAnsi"/>
          <w:i/>
          <w:iCs/>
          <w:sz w:val="24"/>
          <w:szCs w:val="24"/>
          <w:lang w:val="en-US"/>
        </w:rPr>
        <w:t xml:space="preserve"> </w:t>
      </w:r>
      <w:r w:rsidRPr="005164B0">
        <w:rPr>
          <w:rFonts w:asciiTheme="minorHAnsi" w:hAnsiTheme="minorHAnsi" w:cs="TimesNewRoman,Italic"/>
          <w:i/>
          <w:iCs/>
          <w:sz w:val="24"/>
          <w:szCs w:val="24"/>
          <w:lang w:val="en-US"/>
        </w:rPr>
        <w:t>European Survey on Working Conditions 2000</w:t>
      </w:r>
      <w:r w:rsidRPr="005164B0">
        <w:rPr>
          <w:rFonts w:asciiTheme="minorHAnsi" w:hAnsiTheme="minorHAnsi" w:cs="TimesNewRoman"/>
          <w:sz w:val="24"/>
          <w:szCs w:val="24"/>
          <w:lang w:val="en-US"/>
        </w:rPr>
        <w:t xml:space="preserve">. Dublin: European </w:t>
      </w:r>
      <w:r w:rsidRPr="005164B0">
        <w:rPr>
          <w:rFonts w:asciiTheme="minorHAnsi" w:hAnsiTheme="minorHAnsi" w:cs="Times New Roman"/>
          <w:sz w:val="24"/>
          <w:szCs w:val="24"/>
          <w:lang w:val="en-US"/>
        </w:rPr>
        <w:t>Foundation for the Improvement of Living and Working Conditions.</w:t>
      </w:r>
    </w:p>
    <w:p w:rsidR="0042269C" w:rsidRPr="005164B0" w:rsidRDefault="005A74D0" w:rsidP="0042269C">
      <w:pPr>
        <w:spacing w:after="0" w:line="360" w:lineRule="auto"/>
        <w:ind w:left="567" w:hanging="567"/>
        <w:jc w:val="both"/>
        <w:rPr>
          <w:rFonts w:asciiTheme="minorHAnsi" w:hAnsiTheme="minorHAnsi" w:cs="Times New Roman"/>
          <w:sz w:val="24"/>
          <w:szCs w:val="24"/>
          <w:lang w:val="en-US"/>
        </w:rPr>
      </w:pPr>
      <w:r w:rsidRPr="005164B0">
        <w:rPr>
          <w:rFonts w:asciiTheme="minorHAnsi" w:hAnsiTheme="minorHAnsi" w:cs="Times New Roman"/>
          <w:sz w:val="24"/>
          <w:szCs w:val="24"/>
          <w:lang w:val="en-US"/>
        </w:rPr>
        <w:t xml:space="preserve">Goodman, C. (2007). Family dynamics in three generations grandfamilies. </w:t>
      </w:r>
      <w:r w:rsidRPr="005164B0">
        <w:rPr>
          <w:rFonts w:asciiTheme="minorHAnsi" w:hAnsiTheme="minorHAnsi" w:cs="Times New Roman"/>
          <w:bCs/>
          <w:i/>
          <w:sz w:val="24"/>
          <w:szCs w:val="24"/>
          <w:lang w:val="en-US"/>
        </w:rPr>
        <w:t>Journal of Family</w:t>
      </w:r>
      <w:r w:rsidRPr="005164B0">
        <w:rPr>
          <w:rFonts w:asciiTheme="minorHAnsi" w:hAnsiTheme="minorHAnsi" w:cs="Times New Roman"/>
          <w:i/>
          <w:sz w:val="24"/>
          <w:szCs w:val="24"/>
          <w:lang w:val="en-US"/>
        </w:rPr>
        <w:t xml:space="preserve"> </w:t>
      </w:r>
      <w:r w:rsidRPr="005164B0">
        <w:rPr>
          <w:rFonts w:asciiTheme="minorHAnsi" w:hAnsiTheme="minorHAnsi" w:cs="Times New Roman"/>
          <w:bCs/>
          <w:i/>
          <w:sz w:val="24"/>
          <w:szCs w:val="24"/>
          <w:lang w:val="en-US"/>
        </w:rPr>
        <w:t>Issues</w:t>
      </w:r>
      <w:r w:rsidRPr="005164B0">
        <w:rPr>
          <w:rFonts w:asciiTheme="minorHAnsi" w:hAnsiTheme="minorHAnsi" w:cs="Times New Roman"/>
          <w:i/>
          <w:sz w:val="24"/>
          <w:szCs w:val="24"/>
          <w:lang w:val="en-US"/>
        </w:rPr>
        <w:t>, London, 28</w:t>
      </w:r>
      <w:r w:rsidRPr="005164B0">
        <w:rPr>
          <w:rFonts w:asciiTheme="minorHAnsi" w:hAnsiTheme="minorHAnsi" w:cs="Times New Roman"/>
          <w:sz w:val="24"/>
          <w:szCs w:val="24"/>
          <w:lang w:val="en-US"/>
        </w:rPr>
        <w:t>, 355</w:t>
      </w:r>
      <w:r w:rsidRPr="005164B0">
        <w:rPr>
          <w:rFonts w:ascii="MS Gothic" w:eastAsia="MS Gothic" w:hAnsi="MS Gothic" w:cs="MS Gothic" w:hint="eastAsia"/>
          <w:sz w:val="24"/>
          <w:szCs w:val="24"/>
          <w:lang w:val="en-US"/>
        </w:rPr>
        <w:t>‑</w:t>
      </w:r>
      <w:r w:rsidRPr="005164B0">
        <w:rPr>
          <w:rFonts w:asciiTheme="minorHAnsi" w:hAnsiTheme="minorHAnsi" w:cs="Times New Roman"/>
          <w:sz w:val="24"/>
          <w:szCs w:val="24"/>
          <w:lang w:val="en-US"/>
        </w:rPr>
        <w:t>379.</w:t>
      </w:r>
    </w:p>
    <w:p w:rsidR="0042269C" w:rsidRPr="005164B0" w:rsidRDefault="0042269C" w:rsidP="0042269C">
      <w:pPr>
        <w:spacing w:after="0" w:line="360" w:lineRule="auto"/>
        <w:ind w:left="567" w:hanging="567"/>
        <w:jc w:val="both"/>
        <w:rPr>
          <w:rFonts w:asciiTheme="minorHAnsi" w:hAnsiTheme="minorHAnsi" w:cs="Times New Roman"/>
          <w:sz w:val="24"/>
          <w:szCs w:val="24"/>
          <w:lang w:val="en-US"/>
        </w:rPr>
      </w:pPr>
      <w:r w:rsidRPr="005164B0">
        <w:rPr>
          <w:rFonts w:asciiTheme="minorHAnsi" w:hAnsiTheme="minorHAnsi" w:cs="TimesNewRoman,Italic"/>
          <w:iCs/>
          <w:sz w:val="24"/>
          <w:szCs w:val="24"/>
          <w:lang w:val="en-US"/>
        </w:rPr>
        <w:t>Hank, K. &amp; Buber, I., (2009). Grandparents Caring for Their Grandchildren Findings From the 2004 Survey of Health, Ageing, and Retirement in Europe. Journal</w:t>
      </w:r>
      <w:r w:rsidRPr="005164B0">
        <w:rPr>
          <w:rFonts w:asciiTheme="minorHAnsi" w:hAnsiTheme="minorHAnsi" w:cs="TimesNewRoman,Italic"/>
          <w:i/>
          <w:iCs/>
          <w:sz w:val="24"/>
          <w:szCs w:val="24"/>
          <w:lang w:val="en-US"/>
        </w:rPr>
        <w:t xml:space="preserve"> of Family Issues, 30(1), 53-73.</w:t>
      </w:r>
    </w:p>
    <w:p w:rsidR="002E737B" w:rsidRPr="005164B0" w:rsidRDefault="002E737B" w:rsidP="002E737B">
      <w:pPr>
        <w:spacing w:after="0" w:line="360" w:lineRule="auto"/>
        <w:ind w:left="567" w:hanging="567"/>
        <w:jc w:val="both"/>
        <w:rPr>
          <w:rFonts w:asciiTheme="minorHAnsi" w:hAnsiTheme="minorHAnsi" w:cs="Times New Roman"/>
          <w:sz w:val="24"/>
          <w:szCs w:val="24"/>
          <w:lang w:val="en-US"/>
        </w:rPr>
      </w:pPr>
      <w:r w:rsidRPr="005164B0">
        <w:rPr>
          <w:rFonts w:asciiTheme="minorHAnsi" w:hAnsiTheme="minorHAnsi" w:cs="Times New Roman"/>
          <w:sz w:val="24"/>
          <w:szCs w:val="24"/>
          <w:lang w:val="en-US"/>
        </w:rPr>
        <w:t>Kemp, C. L. (2007). Grandparent</w:t>
      </w:r>
      <w:r w:rsidRPr="005164B0">
        <w:rPr>
          <w:rFonts w:ascii="MS Gothic" w:eastAsia="MS Gothic" w:hAnsi="MS Gothic" w:cs="MS Gothic" w:hint="eastAsia"/>
          <w:sz w:val="24"/>
          <w:szCs w:val="24"/>
          <w:lang w:val="en-US"/>
        </w:rPr>
        <w:t>‑</w:t>
      </w:r>
      <w:r w:rsidRPr="005164B0">
        <w:rPr>
          <w:rFonts w:asciiTheme="minorHAnsi" w:hAnsiTheme="minorHAnsi" w:cs="Times New Roman"/>
          <w:sz w:val="24"/>
          <w:szCs w:val="24"/>
          <w:lang w:val="en-US"/>
        </w:rPr>
        <w:t xml:space="preserve">grandchild ties: reflections on continuity and change across three generations. </w:t>
      </w:r>
      <w:r w:rsidRPr="005164B0">
        <w:rPr>
          <w:rFonts w:asciiTheme="minorHAnsi" w:hAnsiTheme="minorHAnsi" w:cs="Times New Roman"/>
          <w:bCs/>
          <w:i/>
          <w:sz w:val="24"/>
          <w:szCs w:val="24"/>
          <w:lang w:val="en-US"/>
        </w:rPr>
        <w:t>Journal of Family Issues</w:t>
      </w:r>
      <w:r w:rsidRPr="005164B0">
        <w:rPr>
          <w:rFonts w:asciiTheme="minorHAnsi" w:hAnsiTheme="minorHAnsi" w:cs="Times New Roman"/>
          <w:i/>
          <w:sz w:val="24"/>
          <w:szCs w:val="24"/>
          <w:lang w:val="en-US"/>
        </w:rPr>
        <w:t>, 28,</w:t>
      </w:r>
      <w:r w:rsidRPr="005164B0">
        <w:rPr>
          <w:rFonts w:asciiTheme="minorHAnsi" w:hAnsiTheme="minorHAnsi" w:cs="Times New Roman"/>
          <w:sz w:val="24"/>
          <w:szCs w:val="24"/>
          <w:lang w:val="en-US"/>
        </w:rPr>
        <w:t xml:space="preserve"> 855</w:t>
      </w:r>
      <w:r w:rsidRPr="005164B0">
        <w:rPr>
          <w:rFonts w:ascii="MS Gothic" w:eastAsia="MS Gothic" w:hAnsi="MS Gothic" w:cs="MS Gothic" w:hint="eastAsia"/>
          <w:sz w:val="24"/>
          <w:szCs w:val="24"/>
          <w:lang w:val="en-US"/>
        </w:rPr>
        <w:t>‑</w:t>
      </w:r>
      <w:r w:rsidRPr="005164B0">
        <w:rPr>
          <w:rFonts w:asciiTheme="minorHAnsi" w:hAnsiTheme="minorHAnsi" w:cs="Times New Roman"/>
          <w:sz w:val="24"/>
          <w:szCs w:val="24"/>
          <w:lang w:val="en-US"/>
        </w:rPr>
        <w:t>881.</w:t>
      </w:r>
    </w:p>
    <w:p w:rsidR="00BF5C5D" w:rsidRPr="005164B0" w:rsidRDefault="00183442" w:rsidP="00BF5C5D">
      <w:pPr>
        <w:spacing w:after="0" w:line="360" w:lineRule="auto"/>
        <w:ind w:left="567" w:hanging="567"/>
        <w:jc w:val="both"/>
        <w:rPr>
          <w:rFonts w:asciiTheme="minorHAnsi" w:hAnsiTheme="minorHAnsi"/>
          <w:sz w:val="24"/>
          <w:szCs w:val="24"/>
          <w:lang w:val="en-US"/>
        </w:rPr>
      </w:pPr>
      <w:r w:rsidRPr="005164B0">
        <w:rPr>
          <w:rFonts w:asciiTheme="minorHAnsi" w:hAnsiTheme="minorHAnsi"/>
          <w:sz w:val="24"/>
          <w:szCs w:val="24"/>
          <w:lang w:val="en-US"/>
        </w:rPr>
        <w:t xml:space="preserve">Kemp, R., &amp; Weehuizen, R. (2004). Policy Learning, What Does it Mean and How Can We Study it? </w:t>
      </w:r>
      <w:r w:rsidRPr="005164B0">
        <w:rPr>
          <w:rFonts w:asciiTheme="minorHAnsi" w:hAnsiTheme="minorHAnsi"/>
          <w:i/>
          <w:iCs/>
          <w:sz w:val="24"/>
          <w:szCs w:val="24"/>
          <w:lang w:val="en-US"/>
        </w:rPr>
        <w:t>PUBLIN - Project on Innovation in the Public Sector</w:t>
      </w:r>
      <w:r w:rsidRPr="005164B0">
        <w:rPr>
          <w:rFonts w:asciiTheme="minorHAnsi" w:hAnsiTheme="minorHAnsi"/>
          <w:sz w:val="24"/>
          <w:szCs w:val="24"/>
          <w:lang w:val="en-US"/>
        </w:rPr>
        <w:t>, Report n. D15, Oslo: Nifu Step.</w:t>
      </w:r>
    </w:p>
    <w:p w:rsidR="00BF5C5D" w:rsidRPr="005164B0" w:rsidRDefault="00BF5C5D" w:rsidP="00BF5C5D">
      <w:pPr>
        <w:spacing w:after="0" w:line="360" w:lineRule="auto"/>
        <w:ind w:left="567" w:hanging="567"/>
        <w:jc w:val="both"/>
        <w:rPr>
          <w:rFonts w:asciiTheme="minorHAnsi" w:hAnsiTheme="minorHAnsi" w:cs="Times New Roman"/>
          <w:i/>
          <w:sz w:val="24"/>
          <w:szCs w:val="24"/>
        </w:rPr>
      </w:pPr>
      <w:r w:rsidRPr="005164B0">
        <w:rPr>
          <w:rFonts w:asciiTheme="minorHAnsi" w:hAnsiTheme="minorHAnsi" w:cs="Times New Roman"/>
          <w:sz w:val="24"/>
          <w:szCs w:val="24"/>
        </w:rPr>
        <w:t>Kipper, C. &amp; Lopes, R. (2006). O tornar</w:t>
      </w:r>
      <w:r w:rsidRPr="005164B0">
        <w:rPr>
          <w:rFonts w:ascii="MS Gothic" w:eastAsia="MS Gothic" w:hAnsi="MS Gothic" w:cs="MS Gothic" w:hint="eastAsia"/>
          <w:sz w:val="24"/>
          <w:szCs w:val="24"/>
        </w:rPr>
        <w:t>‑</w:t>
      </w:r>
      <w:r w:rsidRPr="005164B0">
        <w:rPr>
          <w:rFonts w:asciiTheme="minorHAnsi" w:hAnsiTheme="minorHAnsi" w:cs="Times New Roman"/>
          <w:sz w:val="24"/>
          <w:szCs w:val="24"/>
        </w:rPr>
        <w:t xml:space="preserve">se avó no processo de individuação. </w:t>
      </w:r>
      <w:r w:rsidRPr="005164B0">
        <w:rPr>
          <w:rFonts w:asciiTheme="minorHAnsi" w:hAnsiTheme="minorHAnsi" w:cs="Times New Roman"/>
          <w:bCs/>
          <w:i/>
          <w:sz w:val="24"/>
          <w:szCs w:val="24"/>
        </w:rPr>
        <w:t>Psicologia</w:t>
      </w:r>
      <w:r w:rsidRPr="005164B0">
        <w:rPr>
          <w:rFonts w:asciiTheme="minorHAnsi" w:hAnsiTheme="minorHAnsi" w:cs="Times New Roman"/>
          <w:i/>
          <w:sz w:val="24"/>
          <w:szCs w:val="24"/>
        </w:rPr>
        <w:t>:Teoria e Pesquisa, 22 (</w:t>
      </w:r>
      <w:r w:rsidRPr="005164B0">
        <w:rPr>
          <w:rFonts w:asciiTheme="minorHAnsi" w:hAnsiTheme="minorHAnsi" w:cs="Times New Roman"/>
          <w:sz w:val="24"/>
          <w:szCs w:val="24"/>
        </w:rPr>
        <w:t>1), 29</w:t>
      </w:r>
      <w:r w:rsidRPr="005164B0">
        <w:rPr>
          <w:rFonts w:ascii="MS Gothic" w:eastAsia="MS Gothic" w:hAnsi="MS Gothic" w:cs="MS Gothic" w:hint="eastAsia"/>
          <w:sz w:val="24"/>
          <w:szCs w:val="24"/>
        </w:rPr>
        <w:t>‑</w:t>
      </w:r>
      <w:r w:rsidRPr="005164B0">
        <w:rPr>
          <w:rFonts w:asciiTheme="minorHAnsi" w:hAnsiTheme="minorHAnsi" w:cs="Times New Roman"/>
          <w:sz w:val="24"/>
          <w:szCs w:val="24"/>
        </w:rPr>
        <w:t>34.</w:t>
      </w:r>
    </w:p>
    <w:p w:rsidR="00617E28" w:rsidRPr="005164B0" w:rsidRDefault="00617E28" w:rsidP="00617E28">
      <w:pPr>
        <w:spacing w:after="0" w:line="360" w:lineRule="auto"/>
        <w:ind w:left="567" w:hanging="567"/>
        <w:jc w:val="both"/>
        <w:rPr>
          <w:rFonts w:asciiTheme="minorHAnsi" w:hAnsiTheme="minorHAnsi" w:cs="TimesNewRoman"/>
          <w:sz w:val="24"/>
          <w:szCs w:val="24"/>
          <w:lang w:val="en-US"/>
        </w:rPr>
      </w:pPr>
      <w:r w:rsidRPr="00AB6DE7">
        <w:rPr>
          <w:rFonts w:asciiTheme="minorHAnsi" w:hAnsiTheme="minorHAnsi" w:cs="TimesNewRoman"/>
          <w:sz w:val="24"/>
          <w:szCs w:val="24"/>
          <w:lang w:val="en-US"/>
        </w:rPr>
        <w:t xml:space="preserve">Lehndorff, S. et al (2001) </w:t>
      </w:r>
      <w:r w:rsidRPr="00AB6DE7">
        <w:rPr>
          <w:rFonts w:asciiTheme="minorHAnsi" w:hAnsiTheme="minorHAnsi" w:cs="TimesNewRoman,Italic"/>
          <w:i/>
          <w:iCs/>
          <w:sz w:val="24"/>
          <w:szCs w:val="24"/>
          <w:lang w:val="en-US"/>
        </w:rPr>
        <w:t>NESY: New Forms of Employ</w:t>
      </w:r>
      <w:r w:rsidRPr="005164B0">
        <w:rPr>
          <w:rFonts w:asciiTheme="minorHAnsi" w:hAnsiTheme="minorHAnsi" w:cs="TimesNewRoman,Italic"/>
          <w:i/>
          <w:iCs/>
          <w:sz w:val="24"/>
          <w:szCs w:val="24"/>
          <w:lang w:val="en-US"/>
        </w:rPr>
        <w:t>ment and Working Time in the Service</w:t>
      </w:r>
      <w:r w:rsidRPr="005164B0">
        <w:rPr>
          <w:rFonts w:asciiTheme="minorHAnsi" w:hAnsiTheme="minorHAnsi"/>
          <w:i/>
          <w:iCs/>
          <w:sz w:val="24"/>
          <w:szCs w:val="24"/>
          <w:lang w:val="en-US"/>
        </w:rPr>
        <w:t xml:space="preserve"> </w:t>
      </w:r>
      <w:r w:rsidRPr="005164B0">
        <w:rPr>
          <w:rFonts w:asciiTheme="minorHAnsi" w:hAnsiTheme="minorHAnsi" w:cs="TimesNewRoman,Italic"/>
          <w:i/>
          <w:iCs/>
          <w:sz w:val="24"/>
          <w:szCs w:val="24"/>
          <w:lang w:val="en-US"/>
        </w:rPr>
        <w:t>Economy</w:t>
      </w:r>
      <w:r w:rsidRPr="005164B0">
        <w:rPr>
          <w:rFonts w:asciiTheme="minorHAnsi" w:hAnsiTheme="minorHAnsi" w:cs="TimesNewRoman"/>
          <w:sz w:val="24"/>
          <w:szCs w:val="24"/>
          <w:lang w:val="en-US"/>
        </w:rPr>
        <w:t>. Final Report to the European Commission, Brussels.</w:t>
      </w:r>
    </w:p>
    <w:p w:rsidR="00183442" w:rsidRPr="005164B0" w:rsidRDefault="00183442" w:rsidP="00617E28">
      <w:pPr>
        <w:spacing w:after="0" w:line="360" w:lineRule="auto"/>
        <w:ind w:left="567" w:hanging="567"/>
        <w:jc w:val="both"/>
        <w:rPr>
          <w:rFonts w:asciiTheme="minorHAnsi" w:hAnsiTheme="minorHAnsi"/>
          <w:i/>
          <w:iCs/>
          <w:sz w:val="24"/>
          <w:szCs w:val="24"/>
          <w:lang w:val="en-US"/>
        </w:rPr>
      </w:pPr>
      <w:r w:rsidRPr="005164B0">
        <w:rPr>
          <w:rFonts w:asciiTheme="minorHAnsi" w:hAnsiTheme="minorHAnsi"/>
          <w:sz w:val="24"/>
          <w:szCs w:val="24"/>
          <w:lang w:val="en-US"/>
        </w:rPr>
        <w:t xml:space="preserve">Lundval, B., &amp; Johnson, B. (1994). The Learning Economy. </w:t>
      </w:r>
      <w:r w:rsidRPr="005164B0">
        <w:rPr>
          <w:rFonts w:asciiTheme="minorHAnsi" w:hAnsiTheme="minorHAnsi"/>
          <w:i/>
          <w:iCs/>
          <w:sz w:val="24"/>
          <w:szCs w:val="24"/>
          <w:lang w:val="en-US"/>
        </w:rPr>
        <w:t xml:space="preserve">Journal of Industry Studies, </w:t>
      </w:r>
      <w:r w:rsidRPr="005164B0">
        <w:rPr>
          <w:rFonts w:asciiTheme="minorHAnsi" w:hAnsiTheme="minorHAnsi"/>
          <w:i/>
          <w:sz w:val="24"/>
          <w:szCs w:val="24"/>
          <w:lang w:val="en-US"/>
        </w:rPr>
        <w:t>1</w:t>
      </w:r>
      <w:r w:rsidRPr="005164B0">
        <w:rPr>
          <w:rFonts w:asciiTheme="minorHAnsi" w:hAnsiTheme="minorHAnsi"/>
          <w:sz w:val="24"/>
          <w:szCs w:val="24"/>
          <w:lang w:val="en-US"/>
        </w:rPr>
        <w:t>(2), 23–42.</w:t>
      </w:r>
    </w:p>
    <w:p w:rsidR="00183442" w:rsidRPr="005164B0" w:rsidRDefault="00183442" w:rsidP="0081133E">
      <w:pPr>
        <w:spacing w:after="0" w:line="360" w:lineRule="auto"/>
        <w:ind w:left="567" w:hanging="567"/>
        <w:jc w:val="both"/>
        <w:rPr>
          <w:rFonts w:asciiTheme="minorHAnsi" w:hAnsiTheme="minorHAnsi"/>
          <w:sz w:val="24"/>
          <w:szCs w:val="24"/>
          <w:lang w:val="en-US"/>
        </w:rPr>
      </w:pPr>
      <w:r w:rsidRPr="005164B0">
        <w:rPr>
          <w:rFonts w:asciiTheme="minorHAnsi" w:hAnsiTheme="minorHAnsi"/>
          <w:sz w:val="24"/>
          <w:szCs w:val="24"/>
          <w:lang w:val="en-US"/>
        </w:rPr>
        <w:t xml:space="preserve">Lundvall, B. (1992). </w:t>
      </w:r>
      <w:r w:rsidRPr="005164B0">
        <w:rPr>
          <w:rFonts w:asciiTheme="minorHAnsi" w:hAnsiTheme="minorHAnsi"/>
          <w:i/>
          <w:sz w:val="24"/>
          <w:szCs w:val="24"/>
          <w:lang w:val="en-US"/>
        </w:rPr>
        <w:t>National Systems of Innovation: Towards a Theory of Innovation and Interactive Learning,</w:t>
      </w:r>
      <w:r w:rsidRPr="005164B0">
        <w:rPr>
          <w:rFonts w:asciiTheme="minorHAnsi" w:hAnsiTheme="minorHAnsi"/>
          <w:sz w:val="24"/>
          <w:szCs w:val="24"/>
          <w:lang w:val="en-US"/>
        </w:rPr>
        <w:t xml:space="preserve"> London: Printer.</w:t>
      </w:r>
    </w:p>
    <w:p w:rsidR="0081133E" w:rsidRPr="005164B0" w:rsidRDefault="00183442" w:rsidP="0081133E">
      <w:pPr>
        <w:spacing w:after="0" w:line="360" w:lineRule="auto"/>
        <w:ind w:left="567" w:hanging="567"/>
        <w:jc w:val="both"/>
        <w:rPr>
          <w:rFonts w:asciiTheme="minorHAnsi" w:hAnsiTheme="minorHAnsi"/>
          <w:sz w:val="24"/>
          <w:szCs w:val="24"/>
          <w:lang w:val="en-US"/>
        </w:rPr>
      </w:pPr>
      <w:r w:rsidRPr="005164B0">
        <w:rPr>
          <w:rFonts w:asciiTheme="minorHAnsi" w:hAnsiTheme="minorHAnsi"/>
          <w:sz w:val="24"/>
          <w:szCs w:val="24"/>
          <w:lang w:val="en-US"/>
        </w:rPr>
        <w:t xml:space="preserve">Metcalfe, S. (1998). </w:t>
      </w:r>
      <w:r w:rsidRPr="005164B0">
        <w:rPr>
          <w:rFonts w:asciiTheme="minorHAnsi" w:hAnsiTheme="minorHAnsi"/>
          <w:i/>
          <w:sz w:val="24"/>
          <w:szCs w:val="24"/>
          <w:lang w:val="en-US"/>
        </w:rPr>
        <w:t>Evolutionary Economics and Creative Destruction,</w:t>
      </w:r>
      <w:r w:rsidR="0081133E" w:rsidRPr="005164B0">
        <w:rPr>
          <w:rFonts w:asciiTheme="minorHAnsi" w:hAnsiTheme="minorHAnsi"/>
          <w:sz w:val="24"/>
          <w:szCs w:val="24"/>
          <w:lang w:val="en-US"/>
        </w:rPr>
        <w:t xml:space="preserve"> London: Routledge.</w:t>
      </w:r>
    </w:p>
    <w:p w:rsidR="003C36B5" w:rsidRPr="005164B0" w:rsidRDefault="00183442" w:rsidP="003C36B5">
      <w:pPr>
        <w:spacing w:after="0" w:line="360" w:lineRule="auto"/>
        <w:ind w:left="567" w:hanging="567"/>
        <w:jc w:val="both"/>
        <w:rPr>
          <w:rFonts w:asciiTheme="minorHAnsi" w:hAnsiTheme="minorHAnsi"/>
          <w:sz w:val="24"/>
          <w:szCs w:val="24"/>
        </w:rPr>
      </w:pPr>
      <w:r w:rsidRPr="005164B0">
        <w:rPr>
          <w:rFonts w:asciiTheme="minorHAnsi" w:hAnsiTheme="minorHAnsi"/>
          <w:sz w:val="24"/>
          <w:szCs w:val="24"/>
          <w:lang w:val="en-US"/>
        </w:rPr>
        <w:t xml:space="preserve">OECD/Eurostat (2005). </w:t>
      </w:r>
      <w:r w:rsidRPr="005164B0">
        <w:rPr>
          <w:rFonts w:asciiTheme="minorHAnsi" w:hAnsiTheme="minorHAnsi"/>
          <w:i/>
          <w:sz w:val="24"/>
          <w:szCs w:val="24"/>
          <w:lang w:val="en-US"/>
        </w:rPr>
        <w:t xml:space="preserve">Manual: Guidelines for Collecting and Interpreting Innovation Data, </w:t>
      </w:r>
      <w:r w:rsidRPr="005164B0">
        <w:rPr>
          <w:rFonts w:asciiTheme="minorHAnsi" w:hAnsiTheme="minorHAnsi"/>
          <w:sz w:val="24"/>
          <w:szCs w:val="24"/>
          <w:lang w:val="en-US"/>
        </w:rPr>
        <w:t xml:space="preserve">3rd Edition. </w:t>
      </w:r>
      <w:r w:rsidRPr="005164B0">
        <w:rPr>
          <w:rFonts w:asciiTheme="minorHAnsi" w:hAnsiTheme="minorHAnsi"/>
          <w:sz w:val="24"/>
          <w:szCs w:val="24"/>
        </w:rPr>
        <w:t>Paris: OECD.</w:t>
      </w:r>
    </w:p>
    <w:p w:rsidR="003C36B5" w:rsidRPr="00AB6DE7" w:rsidRDefault="003C36B5" w:rsidP="003C36B5">
      <w:pPr>
        <w:spacing w:after="0" w:line="360" w:lineRule="auto"/>
        <w:ind w:left="567" w:hanging="567"/>
        <w:jc w:val="both"/>
        <w:rPr>
          <w:rFonts w:asciiTheme="minorHAnsi" w:hAnsiTheme="minorHAnsi" w:cs="Times New Roman"/>
          <w:sz w:val="24"/>
          <w:szCs w:val="24"/>
          <w:lang w:val="en-US"/>
        </w:rPr>
      </w:pPr>
      <w:r w:rsidRPr="005164B0">
        <w:rPr>
          <w:rFonts w:asciiTheme="minorHAnsi" w:hAnsiTheme="minorHAnsi" w:cs="Times New Roman"/>
          <w:sz w:val="24"/>
          <w:szCs w:val="24"/>
        </w:rPr>
        <w:t xml:space="preserve">Otero, O. &amp; Altarejos, J. (2007). </w:t>
      </w:r>
      <w:r w:rsidRPr="005164B0">
        <w:rPr>
          <w:rFonts w:asciiTheme="minorHAnsi" w:hAnsiTheme="minorHAnsi" w:cs="Times New Roman"/>
          <w:bCs/>
          <w:i/>
          <w:sz w:val="24"/>
          <w:szCs w:val="24"/>
        </w:rPr>
        <w:t>Como educar os netos</w:t>
      </w:r>
      <w:r w:rsidRPr="005164B0">
        <w:rPr>
          <w:rFonts w:asciiTheme="minorHAnsi" w:hAnsiTheme="minorHAnsi" w:cs="Times New Roman"/>
          <w:sz w:val="24"/>
          <w:szCs w:val="24"/>
        </w:rPr>
        <w:t xml:space="preserve">. Disponível em: &lt;http://www. portaldafamilia.org/artigos/artigo153.shtml&gt;. </w:t>
      </w:r>
      <w:r w:rsidRPr="00AB6DE7">
        <w:rPr>
          <w:rFonts w:asciiTheme="minorHAnsi" w:hAnsiTheme="minorHAnsi" w:cs="Times New Roman"/>
          <w:sz w:val="24"/>
          <w:szCs w:val="24"/>
          <w:lang w:val="en-US"/>
        </w:rPr>
        <w:t>Acesso em: 29 Jan.</w:t>
      </w:r>
    </w:p>
    <w:p w:rsidR="003C36B5" w:rsidRPr="005164B0" w:rsidRDefault="00183442" w:rsidP="003C36B5">
      <w:pPr>
        <w:spacing w:after="0" w:line="360" w:lineRule="auto"/>
        <w:ind w:left="567" w:hanging="567"/>
        <w:jc w:val="both"/>
        <w:rPr>
          <w:rFonts w:asciiTheme="minorHAnsi" w:hAnsiTheme="minorHAnsi"/>
          <w:sz w:val="24"/>
          <w:szCs w:val="24"/>
        </w:rPr>
      </w:pPr>
      <w:r w:rsidRPr="00AB6DE7">
        <w:rPr>
          <w:rFonts w:asciiTheme="minorHAnsi" w:hAnsiTheme="minorHAnsi"/>
          <w:sz w:val="24"/>
          <w:szCs w:val="24"/>
          <w:lang w:val="en-US"/>
        </w:rPr>
        <w:lastRenderedPageBreak/>
        <w:t xml:space="preserve">Pärna, O., &amp; Tunzelmann, N. (2007). </w:t>
      </w:r>
      <w:r w:rsidRPr="005164B0">
        <w:rPr>
          <w:rFonts w:asciiTheme="minorHAnsi" w:hAnsiTheme="minorHAnsi"/>
          <w:sz w:val="24"/>
          <w:szCs w:val="24"/>
          <w:lang w:val="en-US"/>
        </w:rPr>
        <w:t xml:space="preserve">Innovation in the public sector: Key features influencing the development and implementation of technologically innovative public sector services in the UK, Denmark, Finland and Estonia. </w:t>
      </w:r>
      <w:r w:rsidRPr="005164B0">
        <w:rPr>
          <w:rFonts w:asciiTheme="minorHAnsi" w:hAnsiTheme="minorHAnsi"/>
          <w:i/>
          <w:sz w:val="24"/>
          <w:szCs w:val="24"/>
        </w:rPr>
        <w:t>Information Polity. 12</w:t>
      </w:r>
      <w:r w:rsidRPr="005164B0">
        <w:rPr>
          <w:rFonts w:asciiTheme="minorHAnsi" w:hAnsiTheme="minorHAnsi"/>
          <w:sz w:val="24"/>
          <w:szCs w:val="24"/>
        </w:rPr>
        <w:t>, 109–125.</w:t>
      </w:r>
    </w:p>
    <w:p w:rsidR="003C36B5" w:rsidRPr="00AB6DE7" w:rsidRDefault="003C36B5" w:rsidP="003C36B5">
      <w:pPr>
        <w:spacing w:after="0" w:line="360" w:lineRule="auto"/>
        <w:ind w:left="567" w:hanging="567"/>
        <w:jc w:val="both"/>
        <w:rPr>
          <w:rFonts w:asciiTheme="minorHAnsi" w:hAnsiTheme="minorHAnsi" w:cs="Times New Roman"/>
          <w:sz w:val="24"/>
          <w:szCs w:val="24"/>
          <w:lang w:val="en-US"/>
        </w:rPr>
      </w:pPr>
      <w:r w:rsidRPr="005164B0">
        <w:rPr>
          <w:rFonts w:asciiTheme="minorHAnsi" w:hAnsiTheme="minorHAnsi" w:cs="Times New Roman"/>
          <w:sz w:val="24"/>
          <w:szCs w:val="24"/>
        </w:rPr>
        <w:t>Pessoa, A</w:t>
      </w:r>
      <w:r w:rsidRPr="005164B0">
        <w:rPr>
          <w:rFonts w:asciiTheme="minorHAnsi" w:hAnsiTheme="minorHAnsi" w:cs="Times New Roman"/>
          <w:i/>
          <w:iCs/>
          <w:sz w:val="24"/>
          <w:szCs w:val="24"/>
        </w:rPr>
        <w:t xml:space="preserve">. (2007). </w:t>
      </w:r>
      <w:r w:rsidRPr="005164B0">
        <w:rPr>
          <w:rFonts w:asciiTheme="minorHAnsi" w:hAnsiTheme="minorHAnsi" w:cs="Times New Roman"/>
          <w:bCs/>
          <w:i/>
          <w:sz w:val="24"/>
          <w:szCs w:val="24"/>
        </w:rPr>
        <w:t>Os avós</w:t>
      </w:r>
      <w:r w:rsidRPr="005164B0">
        <w:rPr>
          <w:rFonts w:asciiTheme="minorHAnsi" w:hAnsiTheme="minorHAnsi" w:cs="Times New Roman"/>
          <w:i/>
          <w:iCs/>
          <w:sz w:val="24"/>
          <w:szCs w:val="24"/>
        </w:rPr>
        <w:t xml:space="preserve">. </w:t>
      </w:r>
      <w:r w:rsidRPr="005164B0">
        <w:rPr>
          <w:rFonts w:asciiTheme="minorHAnsi" w:hAnsiTheme="minorHAnsi" w:cs="Times New Roman"/>
          <w:sz w:val="24"/>
          <w:szCs w:val="24"/>
        </w:rPr>
        <w:t xml:space="preserve">Disponível em: &lt;http://www.portaldafamilia. org/artigos/artigo403.shtml&gt;. </w:t>
      </w:r>
      <w:r w:rsidRPr="00AB6DE7">
        <w:rPr>
          <w:rFonts w:asciiTheme="minorHAnsi" w:hAnsiTheme="minorHAnsi" w:cs="Times New Roman"/>
          <w:sz w:val="24"/>
          <w:szCs w:val="24"/>
          <w:lang w:val="en-US"/>
        </w:rPr>
        <w:t>Acesso em: 12 Fev.</w:t>
      </w:r>
    </w:p>
    <w:p w:rsidR="001F07FA" w:rsidRPr="005164B0" w:rsidRDefault="0081133E" w:rsidP="001F07FA">
      <w:pPr>
        <w:spacing w:after="0" w:line="360" w:lineRule="auto"/>
        <w:ind w:left="567" w:hanging="567"/>
        <w:jc w:val="both"/>
        <w:rPr>
          <w:rFonts w:asciiTheme="minorHAnsi" w:hAnsiTheme="minorHAnsi"/>
          <w:sz w:val="24"/>
          <w:szCs w:val="24"/>
          <w:lang w:val="en-US"/>
        </w:rPr>
      </w:pPr>
      <w:r w:rsidRPr="00AB6DE7">
        <w:rPr>
          <w:rFonts w:asciiTheme="minorHAnsi" w:hAnsiTheme="minorHAnsi"/>
          <w:sz w:val="24"/>
          <w:szCs w:val="24"/>
          <w:lang w:val="en-US"/>
        </w:rPr>
        <w:t xml:space="preserve">van Weert, T. J. (2006). </w:t>
      </w:r>
      <w:r w:rsidRPr="00AB6DE7">
        <w:rPr>
          <w:rFonts w:asciiTheme="minorHAnsi" w:hAnsiTheme="minorHAnsi"/>
          <w:i/>
          <w:sz w:val="24"/>
          <w:szCs w:val="24"/>
          <w:lang w:val="en-US"/>
        </w:rPr>
        <w:t xml:space="preserve">Education </w:t>
      </w:r>
      <w:r w:rsidRPr="005164B0">
        <w:rPr>
          <w:rFonts w:asciiTheme="minorHAnsi" w:hAnsiTheme="minorHAnsi"/>
          <w:i/>
          <w:sz w:val="24"/>
          <w:szCs w:val="24"/>
          <w:lang w:val="en-US"/>
        </w:rPr>
        <w:t>of the twenty-first century: New professionalism in lifelong learning, knowledge development and knowledge sharing. Education and Information Technologies, 11(3/4),</w:t>
      </w:r>
      <w:r w:rsidRPr="005164B0">
        <w:rPr>
          <w:rFonts w:asciiTheme="minorHAnsi" w:hAnsiTheme="minorHAnsi"/>
          <w:sz w:val="24"/>
          <w:szCs w:val="24"/>
          <w:lang w:val="en-US"/>
        </w:rPr>
        <w:t xml:space="preserve"> 217-237.</w:t>
      </w:r>
    </w:p>
    <w:p w:rsidR="001F07FA" w:rsidRPr="005164B0" w:rsidRDefault="001F07FA" w:rsidP="001F07FA">
      <w:pPr>
        <w:spacing w:after="0" w:line="360" w:lineRule="auto"/>
        <w:ind w:left="567" w:hanging="567"/>
        <w:jc w:val="both"/>
        <w:rPr>
          <w:rFonts w:asciiTheme="minorHAnsi" w:hAnsiTheme="minorHAnsi"/>
          <w:sz w:val="24"/>
          <w:szCs w:val="24"/>
          <w:lang w:val="en-US"/>
        </w:rPr>
      </w:pPr>
      <w:r w:rsidRPr="005164B0">
        <w:rPr>
          <w:rFonts w:asciiTheme="minorHAnsi" w:hAnsiTheme="minorHAnsi"/>
          <w:sz w:val="24"/>
          <w:szCs w:val="24"/>
          <w:lang w:val="en-US"/>
        </w:rPr>
        <w:t xml:space="preserve">Webster, J. (2004). Working and Living in the European Knowledge Society: The policy implications of developments in working life and their effects on social relations. </w:t>
      </w:r>
      <w:r w:rsidRPr="005164B0">
        <w:rPr>
          <w:rFonts w:asciiTheme="minorHAnsi" w:hAnsiTheme="minorHAnsi"/>
          <w:i/>
          <w:sz w:val="24"/>
          <w:szCs w:val="24"/>
          <w:lang w:val="en-US"/>
        </w:rPr>
        <w:t>Report for the project ‘Infowork: Social Cohesion, the Organisation of Work and Information and Communication Technologies: drawing out the lessons of the TSER research programme and the Key Action on Socio-economic Research’</w:t>
      </w:r>
      <w:r w:rsidRPr="005164B0">
        <w:rPr>
          <w:rFonts w:asciiTheme="minorHAnsi" w:hAnsiTheme="minorHAnsi"/>
          <w:sz w:val="24"/>
          <w:szCs w:val="24"/>
          <w:lang w:val="en-US"/>
        </w:rPr>
        <w:t xml:space="preserve">. Dublin: Employment Research Centre, Department of Sociology, Trinity College. Disponível em </w:t>
      </w:r>
      <w:hyperlink r:id="rId9" w:history="1">
        <w:r w:rsidRPr="005164B0">
          <w:rPr>
            <w:rFonts w:asciiTheme="minorHAnsi" w:hAnsiTheme="minorHAnsi"/>
            <w:sz w:val="24"/>
            <w:szCs w:val="24"/>
          </w:rPr>
          <w:t>http://www.tcd.ie/ERC/past%20symposia/infowork%20symposia%20docs/Infowork%20Knowledge.pdf</w:t>
        </w:r>
      </w:hyperlink>
      <w:r w:rsidRPr="005164B0">
        <w:rPr>
          <w:rFonts w:asciiTheme="minorHAnsi" w:hAnsiTheme="minorHAnsi"/>
          <w:sz w:val="24"/>
          <w:szCs w:val="24"/>
          <w:lang w:val="en-US"/>
        </w:rPr>
        <w:t>)</w:t>
      </w:r>
    </w:p>
    <w:sectPr w:rsidR="001F07FA" w:rsidRPr="005164B0" w:rsidSect="0075693D">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44" w:rsidRDefault="00501044" w:rsidP="00E9275E">
      <w:pPr>
        <w:spacing w:after="0" w:line="240" w:lineRule="auto"/>
      </w:pPr>
      <w:r>
        <w:separator/>
      </w:r>
    </w:p>
  </w:endnote>
  <w:endnote w:type="continuationSeparator" w:id="0">
    <w:p w:rsidR="00501044" w:rsidRDefault="00501044" w:rsidP="00E9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umanist521BT-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93460"/>
      <w:docPartObj>
        <w:docPartGallery w:val="Page Numbers (Bottom of Page)"/>
        <w:docPartUnique/>
      </w:docPartObj>
    </w:sdtPr>
    <w:sdtEndPr/>
    <w:sdtContent>
      <w:p w:rsidR="0075693D" w:rsidRDefault="0075693D">
        <w:pPr>
          <w:pStyle w:val="Footer"/>
          <w:jc w:val="center"/>
        </w:pPr>
        <w:r>
          <w:fldChar w:fldCharType="begin"/>
        </w:r>
        <w:r>
          <w:instrText>PAGE   \* MERGEFORMAT</w:instrText>
        </w:r>
        <w:r>
          <w:fldChar w:fldCharType="separate"/>
        </w:r>
        <w:r w:rsidR="00AB6DE7">
          <w:rPr>
            <w:noProof/>
          </w:rPr>
          <w:t>2</w:t>
        </w:r>
        <w:r>
          <w:fldChar w:fldCharType="end"/>
        </w:r>
      </w:p>
    </w:sdtContent>
  </w:sdt>
  <w:p w:rsidR="0075693D" w:rsidRDefault="007569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44" w:rsidRDefault="00501044" w:rsidP="00E9275E">
      <w:pPr>
        <w:spacing w:after="0" w:line="240" w:lineRule="auto"/>
      </w:pPr>
      <w:r>
        <w:separator/>
      </w:r>
    </w:p>
  </w:footnote>
  <w:footnote w:type="continuationSeparator" w:id="0">
    <w:p w:rsidR="00501044" w:rsidRDefault="00501044" w:rsidP="00E92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5A33"/>
    <w:multiLevelType w:val="hybridMultilevel"/>
    <w:tmpl w:val="D04466B8"/>
    <w:lvl w:ilvl="0" w:tplc="C9009C18">
      <w:start w:val="1"/>
      <w:numFmt w:val="decimal"/>
      <w:lvlText w:val="%1."/>
      <w:lvlJc w:val="left"/>
      <w:pPr>
        <w:ind w:left="757" w:hanging="360"/>
      </w:pPr>
      <w:rPr>
        <w:rFonts w:hint="default"/>
      </w:rPr>
    </w:lvl>
    <w:lvl w:ilvl="1" w:tplc="08160019">
      <w:start w:val="1"/>
      <w:numFmt w:val="lowerLetter"/>
      <w:lvlText w:val="%2."/>
      <w:lvlJc w:val="left"/>
      <w:pPr>
        <w:ind w:left="1477" w:hanging="360"/>
      </w:pPr>
    </w:lvl>
    <w:lvl w:ilvl="2" w:tplc="0816001B" w:tentative="1">
      <w:start w:val="1"/>
      <w:numFmt w:val="lowerRoman"/>
      <w:lvlText w:val="%3."/>
      <w:lvlJc w:val="right"/>
      <w:pPr>
        <w:ind w:left="2197" w:hanging="180"/>
      </w:pPr>
    </w:lvl>
    <w:lvl w:ilvl="3" w:tplc="0816000F" w:tentative="1">
      <w:start w:val="1"/>
      <w:numFmt w:val="decimal"/>
      <w:lvlText w:val="%4."/>
      <w:lvlJc w:val="left"/>
      <w:pPr>
        <w:ind w:left="2917" w:hanging="360"/>
      </w:pPr>
    </w:lvl>
    <w:lvl w:ilvl="4" w:tplc="08160019" w:tentative="1">
      <w:start w:val="1"/>
      <w:numFmt w:val="lowerLetter"/>
      <w:lvlText w:val="%5."/>
      <w:lvlJc w:val="left"/>
      <w:pPr>
        <w:ind w:left="3637" w:hanging="360"/>
      </w:pPr>
    </w:lvl>
    <w:lvl w:ilvl="5" w:tplc="0816001B" w:tentative="1">
      <w:start w:val="1"/>
      <w:numFmt w:val="lowerRoman"/>
      <w:lvlText w:val="%6."/>
      <w:lvlJc w:val="right"/>
      <w:pPr>
        <w:ind w:left="4357" w:hanging="180"/>
      </w:pPr>
    </w:lvl>
    <w:lvl w:ilvl="6" w:tplc="0816000F" w:tentative="1">
      <w:start w:val="1"/>
      <w:numFmt w:val="decimal"/>
      <w:lvlText w:val="%7."/>
      <w:lvlJc w:val="left"/>
      <w:pPr>
        <w:ind w:left="5077" w:hanging="360"/>
      </w:pPr>
    </w:lvl>
    <w:lvl w:ilvl="7" w:tplc="08160019" w:tentative="1">
      <w:start w:val="1"/>
      <w:numFmt w:val="lowerLetter"/>
      <w:lvlText w:val="%8."/>
      <w:lvlJc w:val="left"/>
      <w:pPr>
        <w:ind w:left="5797" w:hanging="360"/>
      </w:pPr>
    </w:lvl>
    <w:lvl w:ilvl="8" w:tplc="0816001B" w:tentative="1">
      <w:start w:val="1"/>
      <w:numFmt w:val="lowerRoman"/>
      <w:lvlText w:val="%9."/>
      <w:lvlJc w:val="right"/>
      <w:pPr>
        <w:ind w:left="6517" w:hanging="180"/>
      </w:pPr>
    </w:lvl>
  </w:abstractNum>
  <w:abstractNum w:abstractNumId="1" w15:restartNumberingAfterBreak="0">
    <w:nsid w:val="718A1703"/>
    <w:multiLevelType w:val="multilevel"/>
    <w:tmpl w:val="A1608BE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DC"/>
    <w:rsid w:val="00031905"/>
    <w:rsid w:val="0005580D"/>
    <w:rsid w:val="00082B4D"/>
    <w:rsid w:val="000A5995"/>
    <w:rsid w:val="000E19D1"/>
    <w:rsid w:val="000F3E8E"/>
    <w:rsid w:val="00116BEA"/>
    <w:rsid w:val="00183442"/>
    <w:rsid w:val="001F07FA"/>
    <w:rsid w:val="002121D4"/>
    <w:rsid w:val="002E737B"/>
    <w:rsid w:val="003035AE"/>
    <w:rsid w:val="003A131A"/>
    <w:rsid w:val="003C36B5"/>
    <w:rsid w:val="0042269C"/>
    <w:rsid w:val="004630C7"/>
    <w:rsid w:val="00464C18"/>
    <w:rsid w:val="0046747F"/>
    <w:rsid w:val="004804BF"/>
    <w:rsid w:val="004D1F01"/>
    <w:rsid w:val="004D7A28"/>
    <w:rsid w:val="004D7FF8"/>
    <w:rsid w:val="004F764D"/>
    <w:rsid w:val="00501044"/>
    <w:rsid w:val="005011AB"/>
    <w:rsid w:val="005164B0"/>
    <w:rsid w:val="00555A83"/>
    <w:rsid w:val="005973B7"/>
    <w:rsid w:val="00597774"/>
    <w:rsid w:val="005A74D0"/>
    <w:rsid w:val="005D6F23"/>
    <w:rsid w:val="00617E28"/>
    <w:rsid w:val="006506DC"/>
    <w:rsid w:val="00691105"/>
    <w:rsid w:val="006938D1"/>
    <w:rsid w:val="006C4CB5"/>
    <w:rsid w:val="006E328F"/>
    <w:rsid w:val="00700BD4"/>
    <w:rsid w:val="0075693D"/>
    <w:rsid w:val="007B3CB2"/>
    <w:rsid w:val="0081133E"/>
    <w:rsid w:val="00815B63"/>
    <w:rsid w:val="00850798"/>
    <w:rsid w:val="008572B7"/>
    <w:rsid w:val="00903501"/>
    <w:rsid w:val="00980550"/>
    <w:rsid w:val="009A4608"/>
    <w:rsid w:val="00A25A22"/>
    <w:rsid w:val="00A62596"/>
    <w:rsid w:val="00A938F5"/>
    <w:rsid w:val="00AA2384"/>
    <w:rsid w:val="00AB6DE7"/>
    <w:rsid w:val="00AC3B69"/>
    <w:rsid w:val="00B143C7"/>
    <w:rsid w:val="00BC0FC3"/>
    <w:rsid w:val="00BE24B4"/>
    <w:rsid w:val="00BF5C5D"/>
    <w:rsid w:val="00BF6295"/>
    <w:rsid w:val="00C30EB6"/>
    <w:rsid w:val="00CA152D"/>
    <w:rsid w:val="00CD4F6D"/>
    <w:rsid w:val="00CE0857"/>
    <w:rsid w:val="00CE6AE8"/>
    <w:rsid w:val="00CF433E"/>
    <w:rsid w:val="00D92333"/>
    <w:rsid w:val="00DA6D06"/>
    <w:rsid w:val="00DD2A1C"/>
    <w:rsid w:val="00E10192"/>
    <w:rsid w:val="00E51145"/>
    <w:rsid w:val="00E66807"/>
    <w:rsid w:val="00E67CF6"/>
    <w:rsid w:val="00E9275E"/>
    <w:rsid w:val="00E96C98"/>
    <w:rsid w:val="00ED610D"/>
    <w:rsid w:val="00EE0929"/>
    <w:rsid w:val="00F340D7"/>
    <w:rsid w:val="00F947B5"/>
    <w:rsid w:val="00FA3692"/>
    <w:rsid w:val="00FD3A39"/>
    <w:rsid w:val="00FE73C0"/>
    <w:rsid w:val="00FF7C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78155-6E95-469F-95AC-14097B76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pt-PT" w:eastAsia="pt-PT"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C18"/>
  </w:style>
  <w:style w:type="paragraph" w:styleId="Heading1">
    <w:name w:val="heading 1"/>
    <w:basedOn w:val="Normal"/>
    <w:next w:val="Normal"/>
    <w:link w:val="Heading1Char"/>
    <w:uiPriority w:val="9"/>
    <w:qFormat/>
    <w:rsid w:val="00464C1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64C1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64C1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464C1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64C1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64C1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64C1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64C1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64C1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18"/>
    <w:pPr>
      <w:ind w:left="720"/>
      <w:contextualSpacing/>
    </w:pPr>
  </w:style>
  <w:style w:type="paragraph" w:styleId="BodyText">
    <w:name w:val="Body Text"/>
    <w:basedOn w:val="Normal"/>
    <w:link w:val="BodyTextChar"/>
    <w:rsid w:val="00FE73C0"/>
    <w:pPr>
      <w:tabs>
        <w:tab w:val="left" w:pos="425"/>
      </w:tabs>
      <w:spacing w:after="0" w:line="360" w:lineRule="auto"/>
      <w:jc w:val="both"/>
    </w:pPr>
    <w:rPr>
      <w:rFonts w:ascii="Times New Roman" w:hAnsi="Times New Roman"/>
      <w:kern w:val="16"/>
      <w:sz w:val="28"/>
    </w:rPr>
  </w:style>
  <w:style w:type="character" w:customStyle="1" w:styleId="BodyTextChar">
    <w:name w:val="Body Text Char"/>
    <w:basedOn w:val="DefaultParagraphFont"/>
    <w:link w:val="BodyText"/>
    <w:rsid w:val="00FE73C0"/>
    <w:rPr>
      <w:rFonts w:ascii="Times New Roman" w:eastAsia="Times New Roman" w:hAnsi="Times New Roman" w:cs="Times New Roman"/>
      <w:kern w:val="16"/>
      <w:sz w:val="28"/>
      <w:lang w:val="en-US" w:eastAsia="en-US" w:bidi="en-US"/>
    </w:rPr>
  </w:style>
  <w:style w:type="character" w:styleId="Hyperlink">
    <w:name w:val="Hyperlink"/>
    <w:uiPriority w:val="99"/>
    <w:rsid w:val="00FE73C0"/>
    <w:rPr>
      <w:color w:val="0000FF"/>
      <w:u w:val="single"/>
    </w:rPr>
  </w:style>
  <w:style w:type="character" w:styleId="Emphasis">
    <w:name w:val="Emphasis"/>
    <w:uiPriority w:val="20"/>
    <w:qFormat/>
    <w:rsid w:val="00464C18"/>
    <w:rPr>
      <w:caps/>
      <w:spacing w:val="5"/>
      <w:sz w:val="20"/>
      <w:szCs w:val="20"/>
    </w:rPr>
  </w:style>
  <w:style w:type="character" w:customStyle="1" w:styleId="apple-converted-space">
    <w:name w:val="apple-converted-space"/>
    <w:basedOn w:val="DefaultParagraphFont"/>
    <w:rsid w:val="0081133E"/>
  </w:style>
  <w:style w:type="character" w:customStyle="1" w:styleId="il">
    <w:name w:val="il"/>
    <w:basedOn w:val="DefaultParagraphFont"/>
    <w:rsid w:val="00EE0929"/>
  </w:style>
  <w:style w:type="character" w:customStyle="1" w:styleId="Heading3Char">
    <w:name w:val="Heading 3 Char"/>
    <w:basedOn w:val="DefaultParagraphFont"/>
    <w:link w:val="Heading3"/>
    <w:uiPriority w:val="9"/>
    <w:rsid w:val="00464C18"/>
    <w:rPr>
      <w:caps/>
      <w:color w:val="622423" w:themeColor="accent2" w:themeShade="7F"/>
      <w:sz w:val="24"/>
      <w:szCs w:val="24"/>
    </w:rPr>
  </w:style>
  <w:style w:type="paragraph" w:customStyle="1" w:styleId="newsp">
    <w:name w:val="newsp"/>
    <w:basedOn w:val="Normal"/>
    <w:rsid w:val="004D7A28"/>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64C18"/>
    <w:rPr>
      <w:b/>
      <w:bCs/>
      <w:color w:val="943634" w:themeColor="accent2" w:themeShade="BF"/>
      <w:spacing w:val="5"/>
    </w:rPr>
  </w:style>
  <w:style w:type="paragraph" w:styleId="Title">
    <w:name w:val="Title"/>
    <w:basedOn w:val="Normal"/>
    <w:next w:val="Normal"/>
    <w:link w:val="TitleChar"/>
    <w:uiPriority w:val="10"/>
    <w:qFormat/>
    <w:rsid w:val="00464C1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64C18"/>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464C18"/>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64C18"/>
    <w:rPr>
      <w:caps/>
      <w:color w:val="632423" w:themeColor="accent2" w:themeShade="80"/>
      <w:spacing w:val="15"/>
      <w:sz w:val="24"/>
      <w:szCs w:val="24"/>
    </w:rPr>
  </w:style>
  <w:style w:type="character" w:customStyle="1" w:styleId="Heading4Char">
    <w:name w:val="Heading 4 Char"/>
    <w:basedOn w:val="DefaultParagraphFont"/>
    <w:link w:val="Heading4"/>
    <w:uiPriority w:val="9"/>
    <w:rsid w:val="00464C18"/>
    <w:rPr>
      <w:caps/>
      <w:color w:val="622423" w:themeColor="accent2" w:themeShade="7F"/>
      <w:spacing w:val="10"/>
    </w:rPr>
  </w:style>
  <w:style w:type="character" w:customStyle="1" w:styleId="Heading5Char">
    <w:name w:val="Heading 5 Char"/>
    <w:basedOn w:val="DefaultParagraphFont"/>
    <w:link w:val="Heading5"/>
    <w:uiPriority w:val="9"/>
    <w:semiHidden/>
    <w:rsid w:val="00464C18"/>
    <w:rPr>
      <w:caps/>
      <w:color w:val="622423" w:themeColor="accent2" w:themeShade="7F"/>
      <w:spacing w:val="10"/>
    </w:rPr>
  </w:style>
  <w:style w:type="character" w:customStyle="1" w:styleId="Heading6Char">
    <w:name w:val="Heading 6 Char"/>
    <w:basedOn w:val="DefaultParagraphFont"/>
    <w:link w:val="Heading6"/>
    <w:uiPriority w:val="9"/>
    <w:semiHidden/>
    <w:rsid w:val="00464C18"/>
    <w:rPr>
      <w:caps/>
      <w:color w:val="943634" w:themeColor="accent2" w:themeShade="BF"/>
      <w:spacing w:val="10"/>
    </w:rPr>
  </w:style>
  <w:style w:type="character" w:customStyle="1" w:styleId="Heading7Char">
    <w:name w:val="Heading 7 Char"/>
    <w:basedOn w:val="DefaultParagraphFont"/>
    <w:link w:val="Heading7"/>
    <w:uiPriority w:val="9"/>
    <w:semiHidden/>
    <w:rsid w:val="00464C18"/>
    <w:rPr>
      <w:i/>
      <w:iCs/>
      <w:caps/>
      <w:color w:val="943634" w:themeColor="accent2" w:themeShade="BF"/>
      <w:spacing w:val="10"/>
    </w:rPr>
  </w:style>
  <w:style w:type="character" w:customStyle="1" w:styleId="Heading8Char">
    <w:name w:val="Heading 8 Char"/>
    <w:basedOn w:val="DefaultParagraphFont"/>
    <w:link w:val="Heading8"/>
    <w:uiPriority w:val="9"/>
    <w:semiHidden/>
    <w:rsid w:val="00464C18"/>
    <w:rPr>
      <w:caps/>
      <w:spacing w:val="10"/>
      <w:sz w:val="20"/>
      <w:szCs w:val="20"/>
    </w:rPr>
  </w:style>
  <w:style w:type="character" w:customStyle="1" w:styleId="Heading9Char">
    <w:name w:val="Heading 9 Char"/>
    <w:basedOn w:val="DefaultParagraphFont"/>
    <w:link w:val="Heading9"/>
    <w:uiPriority w:val="9"/>
    <w:semiHidden/>
    <w:rsid w:val="00464C18"/>
    <w:rPr>
      <w:i/>
      <w:iCs/>
      <w:caps/>
      <w:spacing w:val="10"/>
      <w:sz w:val="20"/>
      <w:szCs w:val="20"/>
    </w:rPr>
  </w:style>
  <w:style w:type="paragraph" w:styleId="Caption">
    <w:name w:val="caption"/>
    <w:basedOn w:val="Normal"/>
    <w:next w:val="Normal"/>
    <w:uiPriority w:val="35"/>
    <w:semiHidden/>
    <w:unhideWhenUsed/>
    <w:qFormat/>
    <w:rsid w:val="00464C18"/>
    <w:rPr>
      <w:caps/>
      <w:spacing w:val="10"/>
      <w:sz w:val="18"/>
      <w:szCs w:val="18"/>
    </w:rPr>
  </w:style>
  <w:style w:type="paragraph" w:styleId="Subtitle">
    <w:name w:val="Subtitle"/>
    <w:basedOn w:val="Normal"/>
    <w:next w:val="Normal"/>
    <w:link w:val="SubtitleChar"/>
    <w:uiPriority w:val="11"/>
    <w:qFormat/>
    <w:rsid w:val="00464C1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64C18"/>
    <w:rPr>
      <w:caps/>
      <w:spacing w:val="20"/>
      <w:sz w:val="18"/>
      <w:szCs w:val="18"/>
    </w:rPr>
  </w:style>
  <w:style w:type="paragraph" w:styleId="NoSpacing">
    <w:name w:val="No Spacing"/>
    <w:basedOn w:val="Normal"/>
    <w:link w:val="NoSpacingChar"/>
    <w:uiPriority w:val="1"/>
    <w:qFormat/>
    <w:rsid w:val="00464C18"/>
    <w:pPr>
      <w:spacing w:after="0" w:line="240" w:lineRule="auto"/>
    </w:pPr>
  </w:style>
  <w:style w:type="character" w:customStyle="1" w:styleId="NoSpacingChar">
    <w:name w:val="No Spacing Char"/>
    <w:basedOn w:val="DefaultParagraphFont"/>
    <w:link w:val="NoSpacing"/>
    <w:uiPriority w:val="1"/>
    <w:rsid w:val="00464C18"/>
  </w:style>
  <w:style w:type="paragraph" w:styleId="Quote">
    <w:name w:val="Quote"/>
    <w:basedOn w:val="Normal"/>
    <w:next w:val="Normal"/>
    <w:link w:val="QuoteChar"/>
    <w:uiPriority w:val="29"/>
    <w:qFormat/>
    <w:rsid w:val="00464C18"/>
    <w:rPr>
      <w:i/>
      <w:iCs/>
    </w:rPr>
  </w:style>
  <w:style w:type="character" w:customStyle="1" w:styleId="QuoteChar">
    <w:name w:val="Quote Char"/>
    <w:basedOn w:val="DefaultParagraphFont"/>
    <w:link w:val="Quote"/>
    <w:uiPriority w:val="29"/>
    <w:rsid w:val="00464C18"/>
    <w:rPr>
      <w:i/>
      <w:iCs/>
    </w:rPr>
  </w:style>
  <w:style w:type="paragraph" w:styleId="IntenseQuote">
    <w:name w:val="Intense Quote"/>
    <w:basedOn w:val="Normal"/>
    <w:next w:val="Normal"/>
    <w:link w:val="IntenseQuoteChar"/>
    <w:uiPriority w:val="30"/>
    <w:qFormat/>
    <w:rsid w:val="00464C1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64C18"/>
    <w:rPr>
      <w:caps/>
      <w:color w:val="622423" w:themeColor="accent2" w:themeShade="7F"/>
      <w:spacing w:val="5"/>
      <w:sz w:val="20"/>
      <w:szCs w:val="20"/>
    </w:rPr>
  </w:style>
  <w:style w:type="character" w:styleId="SubtleEmphasis">
    <w:name w:val="Subtle Emphasis"/>
    <w:uiPriority w:val="19"/>
    <w:qFormat/>
    <w:rsid w:val="00464C18"/>
    <w:rPr>
      <w:i/>
      <w:iCs/>
    </w:rPr>
  </w:style>
  <w:style w:type="character" w:styleId="IntenseEmphasis">
    <w:name w:val="Intense Emphasis"/>
    <w:uiPriority w:val="21"/>
    <w:qFormat/>
    <w:rsid w:val="00464C18"/>
    <w:rPr>
      <w:i/>
      <w:iCs/>
      <w:caps/>
      <w:spacing w:val="10"/>
      <w:sz w:val="20"/>
      <w:szCs w:val="20"/>
    </w:rPr>
  </w:style>
  <w:style w:type="character" w:styleId="SubtleReference">
    <w:name w:val="Subtle Reference"/>
    <w:basedOn w:val="DefaultParagraphFont"/>
    <w:uiPriority w:val="31"/>
    <w:qFormat/>
    <w:rsid w:val="00464C1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64C1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64C1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64C18"/>
    <w:pPr>
      <w:outlineLvl w:val="9"/>
    </w:pPr>
    <w:rPr>
      <w:lang w:bidi="en-US"/>
    </w:rPr>
  </w:style>
  <w:style w:type="paragraph" w:styleId="TOC2">
    <w:name w:val="toc 2"/>
    <w:basedOn w:val="Normal"/>
    <w:next w:val="Normal"/>
    <w:autoRedefine/>
    <w:uiPriority w:val="39"/>
    <w:unhideWhenUsed/>
    <w:qFormat/>
    <w:rsid w:val="00903501"/>
    <w:pPr>
      <w:spacing w:after="100"/>
      <w:ind w:left="220"/>
    </w:pPr>
  </w:style>
  <w:style w:type="paragraph" w:styleId="Index1">
    <w:name w:val="index 1"/>
    <w:basedOn w:val="Normal"/>
    <w:next w:val="Normal"/>
    <w:autoRedefine/>
    <w:uiPriority w:val="99"/>
    <w:semiHidden/>
    <w:unhideWhenUsed/>
    <w:rsid w:val="00464C18"/>
    <w:pPr>
      <w:spacing w:after="0" w:line="240" w:lineRule="auto"/>
      <w:ind w:left="220" w:hanging="220"/>
    </w:pPr>
  </w:style>
  <w:style w:type="paragraph" w:styleId="TOC3">
    <w:name w:val="toc 3"/>
    <w:basedOn w:val="Normal"/>
    <w:next w:val="Normal"/>
    <w:autoRedefine/>
    <w:uiPriority w:val="39"/>
    <w:unhideWhenUsed/>
    <w:qFormat/>
    <w:rsid w:val="00903501"/>
    <w:pPr>
      <w:spacing w:after="100"/>
      <w:ind w:left="440"/>
    </w:pPr>
  </w:style>
  <w:style w:type="paragraph" w:styleId="BalloonText">
    <w:name w:val="Balloon Text"/>
    <w:basedOn w:val="Normal"/>
    <w:link w:val="BalloonTextChar"/>
    <w:uiPriority w:val="99"/>
    <w:semiHidden/>
    <w:unhideWhenUsed/>
    <w:rsid w:val="0090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01"/>
    <w:rPr>
      <w:rFonts w:ascii="Tahoma" w:hAnsi="Tahoma" w:cs="Tahoma"/>
      <w:sz w:val="16"/>
      <w:szCs w:val="16"/>
    </w:rPr>
  </w:style>
  <w:style w:type="paragraph" w:styleId="TOC1">
    <w:name w:val="toc 1"/>
    <w:basedOn w:val="Normal"/>
    <w:next w:val="Normal"/>
    <w:autoRedefine/>
    <w:uiPriority w:val="39"/>
    <w:semiHidden/>
    <w:unhideWhenUsed/>
    <w:qFormat/>
    <w:rsid w:val="00903501"/>
    <w:pPr>
      <w:spacing w:after="100" w:line="276" w:lineRule="auto"/>
    </w:pPr>
    <w:rPr>
      <w:rFonts w:asciiTheme="minorHAnsi" w:eastAsiaTheme="minorEastAsia" w:hAnsiTheme="minorHAnsi" w:cstheme="minorBidi"/>
    </w:rPr>
  </w:style>
  <w:style w:type="paragraph" w:styleId="TOC4">
    <w:name w:val="toc 4"/>
    <w:basedOn w:val="Normal"/>
    <w:next w:val="Normal"/>
    <w:autoRedefine/>
    <w:uiPriority w:val="39"/>
    <w:unhideWhenUsed/>
    <w:rsid w:val="00903501"/>
    <w:pPr>
      <w:spacing w:after="100"/>
      <w:ind w:left="660"/>
    </w:pPr>
  </w:style>
  <w:style w:type="paragraph" w:styleId="FootnoteText">
    <w:name w:val="footnote text"/>
    <w:basedOn w:val="Normal"/>
    <w:link w:val="FootnoteTextChar"/>
    <w:uiPriority w:val="99"/>
    <w:semiHidden/>
    <w:unhideWhenUsed/>
    <w:rsid w:val="00E92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75E"/>
    <w:rPr>
      <w:sz w:val="20"/>
      <w:szCs w:val="20"/>
    </w:rPr>
  </w:style>
  <w:style w:type="character" w:styleId="FootnoteReference">
    <w:name w:val="footnote reference"/>
    <w:basedOn w:val="DefaultParagraphFont"/>
    <w:uiPriority w:val="99"/>
    <w:semiHidden/>
    <w:unhideWhenUsed/>
    <w:rsid w:val="00E9275E"/>
    <w:rPr>
      <w:vertAlign w:val="superscript"/>
    </w:rPr>
  </w:style>
  <w:style w:type="paragraph" w:styleId="Header">
    <w:name w:val="header"/>
    <w:basedOn w:val="Normal"/>
    <w:link w:val="HeaderChar"/>
    <w:uiPriority w:val="99"/>
    <w:unhideWhenUsed/>
    <w:rsid w:val="007569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75693D"/>
  </w:style>
  <w:style w:type="paragraph" w:styleId="Footer">
    <w:name w:val="footer"/>
    <w:basedOn w:val="Normal"/>
    <w:link w:val="FooterChar"/>
    <w:uiPriority w:val="99"/>
    <w:unhideWhenUsed/>
    <w:rsid w:val="007569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75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48697">
      <w:bodyDiv w:val="1"/>
      <w:marLeft w:val="0"/>
      <w:marRight w:val="0"/>
      <w:marTop w:val="0"/>
      <w:marBottom w:val="0"/>
      <w:divBdr>
        <w:top w:val="none" w:sz="0" w:space="0" w:color="auto"/>
        <w:left w:val="none" w:sz="0" w:space="0" w:color="auto"/>
        <w:bottom w:val="none" w:sz="0" w:space="0" w:color="auto"/>
        <w:right w:val="none" w:sz="0" w:space="0" w:color="auto"/>
      </w:divBdr>
    </w:div>
    <w:div w:id="1245844196">
      <w:bodyDiv w:val="1"/>
      <w:marLeft w:val="0"/>
      <w:marRight w:val="0"/>
      <w:marTop w:val="0"/>
      <w:marBottom w:val="0"/>
      <w:divBdr>
        <w:top w:val="none" w:sz="0" w:space="0" w:color="auto"/>
        <w:left w:val="none" w:sz="0" w:space="0" w:color="auto"/>
        <w:bottom w:val="none" w:sz="0" w:space="0" w:color="auto"/>
        <w:right w:val="none" w:sz="0" w:space="0" w:color="auto"/>
      </w:divBdr>
    </w:div>
    <w:div w:id="19809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d.ie/ERC/past%20symposia/infowork%20symposia%20docs/Infowork%20Knowledge.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1957-DAE6-4FD9-98AD-299B205D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13</Pages>
  <Words>3273</Words>
  <Characters>17675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Adelinda</dc:creator>
  <cp:lastModifiedBy>SS</cp:lastModifiedBy>
  <cp:revision>46</cp:revision>
  <dcterms:created xsi:type="dcterms:W3CDTF">2013-03-06T17:21:00Z</dcterms:created>
  <dcterms:modified xsi:type="dcterms:W3CDTF">2021-05-12T20:35:00Z</dcterms:modified>
</cp:coreProperties>
</file>